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E5" w:rsidRPr="00D07A4B" w:rsidRDefault="003148E5" w:rsidP="003148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07A4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Кадастровая оценка земель, земельных участков по виду функционального использования «</w:t>
      </w:r>
      <w:r w:rsidR="004A3C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производственная зона»</w:t>
      </w:r>
    </w:p>
    <w:p w:rsidR="003148E5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В период с января 201</w:t>
      </w:r>
      <w:r w:rsidR="009C4EDF" w:rsidRPr="008B106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по май 201</w:t>
      </w:r>
      <w:r w:rsidR="009C4EDF" w:rsidRPr="008B106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</w:t>
      </w:r>
      <w:r w:rsidR="00CF178B" w:rsidRPr="008B106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функционального использования земель «</w:t>
      </w:r>
      <w:r w:rsidR="00B27F9B" w:rsidRPr="008B106F">
        <w:rPr>
          <w:rFonts w:ascii="Times New Roman" w:eastAsia="Times New Roman" w:hAnsi="Times New Roman"/>
          <w:sz w:val="27"/>
          <w:szCs w:val="27"/>
          <w:lang w:eastAsia="ru-RU"/>
        </w:rPr>
        <w:t>производственная</w:t>
      </w:r>
      <w:r w:rsidR="00CF178B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зона», (далее – кадастровая оценка), по состоянию на дату кадастровой оценки 01.07.201</w:t>
      </w:r>
      <w:r w:rsidR="007E4C1B" w:rsidRPr="008B106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всей территории Республики Беларусь.</w:t>
      </w:r>
    </w:p>
    <w:p w:rsidR="00F4024D" w:rsidRPr="008B106F" w:rsidRDefault="00F4024D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В регистр стоимости земель, земельных участков государственного земельного кадастра (далее – регистр стоимости) </w:t>
      </w:r>
      <w:r w:rsidR="00C62A52" w:rsidRPr="008B106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5" w:history="1">
        <w:r w:rsidR="00B9173F" w:rsidRPr="008B106F">
          <w:rPr>
            <w:rStyle w:val="a3"/>
            <w:rFonts w:ascii="Times New Roman" w:eastAsia="Times New Roman" w:hAnsi="Times New Roman"/>
            <w:b/>
            <w:bCs/>
            <w:sz w:val="27"/>
            <w:szCs w:val="27"/>
            <w:lang w:eastAsia="ru-RU"/>
          </w:rPr>
          <w:t>www.vl.nca.by</w:t>
        </w:r>
      </w:hyperlink>
      <w:r w:rsidR="00C62A52" w:rsidRPr="008B106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B9173F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были внесены следующие результаты кадастровой оценки:</w:t>
      </w:r>
    </w:p>
    <w:p w:rsidR="00B9173F" w:rsidRPr="008B106F" w:rsidRDefault="00B9173F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4170"/>
        <w:gridCol w:w="2268"/>
        <w:gridCol w:w="2259"/>
      </w:tblGrid>
      <w:tr w:rsidR="00F22EF8" w:rsidRPr="008B106F" w:rsidTr="004D5A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1" w:type="dxa"/>
          </w:tcPr>
          <w:p w:rsidR="00F22EF8" w:rsidRPr="008B106F" w:rsidRDefault="00310C65" w:rsidP="008B1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70" w:type="dxa"/>
          </w:tcPr>
          <w:p w:rsidR="00F22EF8" w:rsidRPr="008B106F" w:rsidRDefault="00310C65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земли</w:t>
            </w:r>
          </w:p>
          <w:p w:rsidR="00F22EF8" w:rsidRPr="008B106F" w:rsidRDefault="00F22EF8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2EF8" w:rsidRPr="008B106F" w:rsidRDefault="00D90C6E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в регистр стоимости</w:t>
            </w:r>
          </w:p>
        </w:tc>
        <w:tc>
          <w:tcPr>
            <w:tcW w:w="2259" w:type="dxa"/>
          </w:tcPr>
          <w:p w:rsidR="00F22EF8" w:rsidRPr="008B106F" w:rsidRDefault="00D90C6E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записи в регистре стоимости</w:t>
            </w:r>
          </w:p>
        </w:tc>
      </w:tr>
      <w:tr w:rsidR="00F22EF8" w:rsidRPr="008B106F" w:rsidTr="004D5A4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11" w:type="dxa"/>
          </w:tcPr>
          <w:p w:rsidR="00F22EF8" w:rsidRPr="008B106F" w:rsidRDefault="007218A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</w:tcPr>
          <w:p w:rsidR="00F22EF8" w:rsidRPr="008B106F" w:rsidRDefault="00EB1F89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 Бешенковичи</w:t>
            </w:r>
          </w:p>
        </w:tc>
        <w:tc>
          <w:tcPr>
            <w:tcW w:w="2268" w:type="dxa"/>
          </w:tcPr>
          <w:p w:rsidR="00F22EF8" w:rsidRPr="008B106F" w:rsidRDefault="009D4EC5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29.12.2018г.</w:t>
            </w:r>
          </w:p>
        </w:tc>
        <w:tc>
          <w:tcPr>
            <w:tcW w:w="2259" w:type="dxa"/>
          </w:tcPr>
          <w:p w:rsidR="00F22EF8" w:rsidRPr="008B106F" w:rsidRDefault="009D4EC5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3797</w:t>
            </w:r>
          </w:p>
        </w:tc>
      </w:tr>
      <w:tr w:rsidR="00310C65" w:rsidRPr="008B106F" w:rsidTr="004D5A4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11" w:type="dxa"/>
          </w:tcPr>
          <w:p w:rsidR="00310C65" w:rsidRPr="008B106F" w:rsidRDefault="007218A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</w:tcPr>
          <w:p w:rsidR="00310C65" w:rsidRPr="008B106F" w:rsidRDefault="00F326A9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D4EC5"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емли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расположенные за пределами на</w:t>
            </w:r>
            <w:r w:rsidR="00495AC7"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селенных пунктов, садоводческих 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товариществ и дачных кооперативов</w:t>
            </w:r>
          </w:p>
        </w:tc>
        <w:tc>
          <w:tcPr>
            <w:tcW w:w="2268" w:type="dxa"/>
          </w:tcPr>
          <w:p w:rsidR="00310C65" w:rsidRPr="008B106F" w:rsidRDefault="00310C65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C65" w:rsidRPr="008B106F" w:rsidRDefault="00393E4E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29.12.2018г.</w:t>
            </w:r>
          </w:p>
          <w:p w:rsidR="00310C65" w:rsidRPr="008B106F" w:rsidRDefault="00310C65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310C65" w:rsidRPr="008B106F" w:rsidRDefault="00310C65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C65" w:rsidRPr="008B106F" w:rsidRDefault="00393E4E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</w:t>
            </w:r>
          </w:p>
          <w:p w:rsidR="00310C65" w:rsidRPr="008B106F" w:rsidRDefault="00310C65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C65" w:rsidRPr="008B106F" w:rsidTr="004D5A4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11" w:type="dxa"/>
          </w:tcPr>
          <w:p w:rsidR="00310C65" w:rsidRPr="008B106F" w:rsidRDefault="007218A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0" w:type="dxa"/>
          </w:tcPr>
          <w:p w:rsidR="00310C65" w:rsidRPr="008B106F" w:rsidRDefault="000F3480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сельские населенные пункты </w:t>
            </w:r>
          </w:p>
        </w:tc>
        <w:tc>
          <w:tcPr>
            <w:tcW w:w="2268" w:type="dxa"/>
          </w:tcPr>
          <w:p w:rsidR="00310C65" w:rsidRPr="008B106F" w:rsidRDefault="000F3480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29.12.2018г.</w:t>
            </w:r>
          </w:p>
        </w:tc>
        <w:tc>
          <w:tcPr>
            <w:tcW w:w="2259" w:type="dxa"/>
          </w:tcPr>
          <w:p w:rsidR="00310C65" w:rsidRPr="008B106F" w:rsidRDefault="000F3480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</w:t>
            </w:r>
          </w:p>
        </w:tc>
      </w:tr>
    </w:tbl>
    <w:p w:rsidR="002E3B51" w:rsidRPr="008B106F" w:rsidRDefault="00A35FF8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Основание: </w:t>
      </w:r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Инструкция о порядке </w:t>
      </w:r>
      <w:proofErr w:type="gramStart"/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>ведения регистра стоимости земельных участков государственного земельного кадастра</w:t>
      </w:r>
      <w:proofErr w:type="gramEnd"/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и выдачи информации из него, </w:t>
      </w:r>
      <w:r w:rsidR="00E46F86" w:rsidRPr="008B106F">
        <w:rPr>
          <w:rFonts w:ascii="Times New Roman" w:eastAsia="Times New Roman" w:hAnsi="Times New Roman"/>
          <w:sz w:val="27"/>
          <w:szCs w:val="27"/>
          <w:lang w:eastAsia="ru-RU"/>
        </w:rPr>
        <w:t>утвержденная постановлением Государственного комитета</w:t>
      </w:r>
      <w:r w:rsidR="0037644B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имуществу Республики Беларусь от 03.06.2010г. №37</w:t>
      </w:r>
      <w:r w:rsidR="00B53127" w:rsidRPr="008B106F">
        <w:rPr>
          <w:rFonts w:ascii="Times New Roman" w:eastAsia="Times New Roman" w:hAnsi="Times New Roman"/>
          <w:sz w:val="27"/>
          <w:szCs w:val="27"/>
          <w:lang w:eastAsia="ru-RU"/>
        </w:rPr>
        <w:t>; р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>ешением Бешенковичского районного исполнительного комитета №</w:t>
      </w:r>
      <w:r w:rsidR="00E4073E" w:rsidRPr="008B106F">
        <w:rPr>
          <w:rFonts w:ascii="Times New Roman" w:eastAsia="Times New Roman" w:hAnsi="Times New Roman"/>
          <w:sz w:val="27"/>
          <w:szCs w:val="27"/>
          <w:lang w:eastAsia="ru-RU"/>
        </w:rPr>
        <w:t>1024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72180" w:rsidRPr="008B106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72180" w:rsidRPr="008B106F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="00572180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8г. «Об установлении результатов кадастровой оценки земель Бешенковичского района по виду </w:t>
      </w:r>
      <w:r w:rsidR="00110FC3" w:rsidRPr="008B106F">
        <w:rPr>
          <w:rFonts w:ascii="Times New Roman" w:eastAsia="Times New Roman" w:hAnsi="Times New Roman"/>
          <w:sz w:val="27"/>
          <w:szCs w:val="27"/>
          <w:lang w:eastAsia="ru-RU"/>
        </w:rPr>
        <w:t>функционального использования земель «производственная зона» и признании утратившими силу некоторых</w:t>
      </w:r>
      <w:r w:rsidR="00690781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решений Бешенковичского районного исполнительного комитета»,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были утверждены результаты проведенной кадастровой оценки земель, земельных участков Бешенковичского района. </w:t>
      </w:r>
    </w:p>
    <w:p w:rsidR="001C5DF1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С решением можно ознакомиться на 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Национальном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правовом Интернет-портале Республики Беларусь </w:t>
      </w:r>
      <w:hyperlink r:id="rId6" w:history="1">
        <w:r w:rsidRPr="008B106F">
          <w:rPr>
            <w:rFonts w:ascii="Times New Roman" w:eastAsia="Times New Roman" w:hAnsi="Times New Roman"/>
            <w:b/>
            <w:bCs/>
            <w:sz w:val="27"/>
            <w:szCs w:val="27"/>
            <w:u w:val="single"/>
            <w:lang w:eastAsia="ru-RU"/>
          </w:rPr>
          <w:t>www.pravo.by</w:t>
        </w:r>
      </w:hyperlink>
      <w:r w:rsidR="001C5DF1" w:rsidRPr="008B106F">
        <w:rPr>
          <w:rFonts w:ascii="Times New Roman" w:hAnsi="Times New Roman"/>
        </w:rPr>
        <w:t>.</w:t>
      </w:r>
    </w:p>
    <w:p w:rsidR="002E58D0" w:rsidRPr="008B106F" w:rsidRDefault="0008173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hAnsi="Times New Roman"/>
          <w:sz w:val="27"/>
          <w:szCs w:val="27"/>
        </w:rPr>
        <w:t xml:space="preserve">После </w:t>
      </w:r>
      <w:r w:rsidR="007B654F" w:rsidRPr="008B106F">
        <w:rPr>
          <w:rFonts w:ascii="Times New Roman" w:hAnsi="Times New Roman"/>
          <w:sz w:val="27"/>
          <w:szCs w:val="27"/>
        </w:rPr>
        <w:t>внесения результатов</w:t>
      </w:r>
      <w:r w:rsidR="002855AD" w:rsidRPr="008B106F">
        <w:rPr>
          <w:rFonts w:ascii="Times New Roman" w:hAnsi="Times New Roman"/>
          <w:sz w:val="27"/>
          <w:szCs w:val="27"/>
        </w:rPr>
        <w:t xml:space="preserve"> </w:t>
      </w:r>
      <w:r w:rsidR="006A1882" w:rsidRPr="008B106F">
        <w:rPr>
          <w:rFonts w:ascii="Times New Roman" w:hAnsi="Times New Roman"/>
          <w:sz w:val="27"/>
          <w:szCs w:val="27"/>
        </w:rPr>
        <w:t>кадастровой оценки в регистр стоимости они</w:t>
      </w:r>
      <w:r w:rsidR="00BF6B5D" w:rsidRPr="008B106F">
        <w:rPr>
          <w:rFonts w:ascii="Times New Roman" w:hAnsi="Times New Roman"/>
          <w:sz w:val="27"/>
          <w:szCs w:val="27"/>
        </w:rPr>
        <w:t xml:space="preserve"> могут использоваться для целей, определенных законодательством, в том числе для определения налоговой базы земельного налога.</w:t>
      </w:r>
      <w:r w:rsidR="007B654F" w:rsidRPr="008B106F">
        <w:rPr>
          <w:rFonts w:ascii="Times New Roman" w:hAnsi="Times New Roman"/>
          <w:sz w:val="27"/>
          <w:szCs w:val="27"/>
        </w:rPr>
        <w:t xml:space="preserve"> </w:t>
      </w:r>
      <w:r w:rsidR="002E58D0" w:rsidRPr="008B106F">
        <w:rPr>
          <w:rFonts w:ascii="Times New Roman" w:eastAsia="Times New Roman" w:hAnsi="Times New Roman"/>
          <w:sz w:val="27"/>
          <w:szCs w:val="27"/>
          <w:lang w:eastAsia="ru-RU"/>
        </w:rPr>
        <w:t>Ознакомиться с результатами кадастровой оценки можно на сайте </w:t>
      </w:r>
      <w:proofErr w:type="spellStart"/>
      <w:r w:rsidR="002E58D0"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www.vl.nca.by</w:t>
      </w:r>
      <w:proofErr w:type="spellEnd"/>
      <w:r w:rsidR="002E58D0" w:rsidRPr="008B106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7E99" w:rsidRPr="008B106F" w:rsidRDefault="009F21CA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hAnsi="Times New Roman"/>
          <w:sz w:val="27"/>
          <w:szCs w:val="27"/>
        </w:rPr>
        <w:t>В соответст</w:t>
      </w:r>
      <w:r w:rsidR="007C06EB" w:rsidRPr="008B106F">
        <w:rPr>
          <w:rFonts w:ascii="Times New Roman" w:hAnsi="Times New Roman"/>
          <w:sz w:val="27"/>
          <w:szCs w:val="27"/>
        </w:rPr>
        <w:t>вии с Н</w:t>
      </w:r>
      <w:r w:rsidRPr="008B106F">
        <w:rPr>
          <w:rFonts w:ascii="Times New Roman" w:hAnsi="Times New Roman"/>
          <w:sz w:val="27"/>
          <w:szCs w:val="27"/>
        </w:rPr>
        <w:t xml:space="preserve">алоговым кодексом </w:t>
      </w:r>
      <w:r w:rsidR="00AF14AC" w:rsidRPr="008B106F">
        <w:rPr>
          <w:rFonts w:ascii="Times New Roman" w:hAnsi="Times New Roman"/>
          <w:sz w:val="27"/>
          <w:szCs w:val="27"/>
        </w:rPr>
        <w:t>Республики Беларусь</w:t>
      </w:r>
      <w:r w:rsidR="007C06EB" w:rsidRPr="008B106F">
        <w:rPr>
          <w:rFonts w:ascii="Times New Roman" w:hAnsi="Times New Roman"/>
          <w:sz w:val="27"/>
          <w:szCs w:val="27"/>
        </w:rPr>
        <w:t xml:space="preserve"> налоговая база</w:t>
      </w:r>
      <w:r w:rsidRPr="008B106F">
        <w:rPr>
          <w:rFonts w:ascii="Times New Roman" w:hAnsi="Times New Roman"/>
          <w:sz w:val="27"/>
          <w:szCs w:val="27"/>
        </w:rPr>
        <w:t xml:space="preserve"> </w:t>
      </w:r>
      <w:r w:rsidR="00D92039" w:rsidRPr="008B106F">
        <w:rPr>
          <w:rFonts w:ascii="Times New Roman" w:hAnsi="Times New Roman"/>
          <w:sz w:val="27"/>
          <w:szCs w:val="27"/>
        </w:rPr>
        <w:t>земельного налога определяется в белорусских рублях на 1 января календарного года, за</w:t>
      </w:r>
      <w:r w:rsidR="00217E99" w:rsidRPr="008B106F">
        <w:rPr>
          <w:rFonts w:ascii="Times New Roman" w:hAnsi="Times New Roman"/>
          <w:sz w:val="27"/>
          <w:szCs w:val="27"/>
        </w:rPr>
        <w:t xml:space="preserve"> который производится исчисление налога. </w:t>
      </w:r>
      <w:r w:rsidR="00217E99" w:rsidRPr="008B106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налоговая инспекция для исчисления земельного налога в 2019 году будет использовать сведения, внесенные в регистр стоимости до 01 января 2018 года.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Напоминаем, что также кадастровая стоимость земель, земельных участков используется в целях: 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- определения размера платы за право заключения договоров аренды; 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- установления начальных цен на аукционах; 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стоимости земельного участка, передаваемого в ипотеку;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оценки недвижимого имущества (определения стоимости местоположения объекта недвижимости);</w:t>
      </w:r>
    </w:p>
    <w:p w:rsidR="00C542E0" w:rsidRPr="008B106F" w:rsidRDefault="00C542E0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C542E0" w:rsidRPr="008B106F" w:rsidRDefault="00C542E0" w:rsidP="008B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52D6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Как можно оспорить кадастровую стоимость? </w:t>
      </w:r>
    </w:p>
    <w:p w:rsidR="000E52D6" w:rsidRPr="008B106F" w:rsidRDefault="000E52D6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148E5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шести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</w:t>
      </w:r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месяцев </w:t>
      </w:r>
      <w:proofErr w:type="gramStart"/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с даты внесения</w:t>
      </w:r>
      <w:proofErr w:type="gramEnd"/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результатов кадастровой оценки в регистр стоимости. Обжалование результатов кадастровой оценки регулируется </w:t>
      </w:r>
      <w:proofErr w:type="spellStart"/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spellEnd"/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.17 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ТКП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52.2.0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-201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«Оценка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стоимости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земельных участков».</w:t>
      </w:r>
    </w:p>
    <w:p w:rsidR="003148E5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3148E5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Независимая оценка рыночной стоимости в текущем использовании земельного участка проводится в ценах на дату проведения кадастровой оценки 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за счет средств землепользователя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8F396B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В случае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рыночная стоимость в текущем использовании земельного участка отличается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на 15 и более процентов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земельных участков, расположенных в городе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Минске и областных центрах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, и на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20 и более процентов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земельных участков, расположенных в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других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которая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8F396B" w:rsidRPr="008B106F" w:rsidSect="008B10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48E5"/>
    <w:rsid w:val="00081730"/>
    <w:rsid w:val="000E52D6"/>
    <w:rsid w:val="000F3480"/>
    <w:rsid w:val="00110FC3"/>
    <w:rsid w:val="001912DF"/>
    <w:rsid w:val="001C5DF1"/>
    <w:rsid w:val="00217E99"/>
    <w:rsid w:val="002855AD"/>
    <w:rsid w:val="002E3B51"/>
    <w:rsid w:val="002E58D0"/>
    <w:rsid w:val="00310C65"/>
    <w:rsid w:val="003148E5"/>
    <w:rsid w:val="0037644B"/>
    <w:rsid w:val="00393E4E"/>
    <w:rsid w:val="004504A0"/>
    <w:rsid w:val="00495AC7"/>
    <w:rsid w:val="004A3CA6"/>
    <w:rsid w:val="004C4E06"/>
    <w:rsid w:val="004D5A4E"/>
    <w:rsid w:val="00572180"/>
    <w:rsid w:val="005A7945"/>
    <w:rsid w:val="00690781"/>
    <w:rsid w:val="0069683F"/>
    <w:rsid w:val="006A1882"/>
    <w:rsid w:val="007218A8"/>
    <w:rsid w:val="00731A50"/>
    <w:rsid w:val="007B654F"/>
    <w:rsid w:val="007C06EB"/>
    <w:rsid w:val="007E4C1B"/>
    <w:rsid w:val="008B106F"/>
    <w:rsid w:val="008F396B"/>
    <w:rsid w:val="009168FD"/>
    <w:rsid w:val="009C4EDF"/>
    <w:rsid w:val="009D4EC5"/>
    <w:rsid w:val="009D5E25"/>
    <w:rsid w:val="009F21CA"/>
    <w:rsid w:val="00A35FF8"/>
    <w:rsid w:val="00A366BF"/>
    <w:rsid w:val="00A73CE0"/>
    <w:rsid w:val="00AE4E3A"/>
    <w:rsid w:val="00AF14AC"/>
    <w:rsid w:val="00B27F9B"/>
    <w:rsid w:val="00B53127"/>
    <w:rsid w:val="00B9173F"/>
    <w:rsid w:val="00BE3996"/>
    <w:rsid w:val="00BF6B5D"/>
    <w:rsid w:val="00C116B2"/>
    <w:rsid w:val="00C542E0"/>
    <w:rsid w:val="00C62A52"/>
    <w:rsid w:val="00C75C9A"/>
    <w:rsid w:val="00CC08E0"/>
    <w:rsid w:val="00CF178B"/>
    <w:rsid w:val="00D208A4"/>
    <w:rsid w:val="00D86BDA"/>
    <w:rsid w:val="00D90C6E"/>
    <w:rsid w:val="00D92039"/>
    <w:rsid w:val="00E4073E"/>
    <w:rsid w:val="00E46F86"/>
    <w:rsid w:val="00E62CFD"/>
    <w:rsid w:val="00EB1F89"/>
    <w:rsid w:val="00EC351B"/>
    <w:rsid w:val="00F22EF8"/>
    <w:rsid w:val="00F326A9"/>
    <w:rsid w:val="00F4024D"/>
    <w:rsid w:val="00F5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by/" TargetMode="External"/><Relationship Id="rId5" Type="http://schemas.openxmlformats.org/officeDocument/2006/relationships/hyperlink" Target="http://www.vl.nc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B406-7760-4A2C-9270-BB6D2F94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Зем.служба РИК</dc:creator>
  <cp:lastModifiedBy>Зем.служба РИК</cp:lastModifiedBy>
  <cp:revision>164</cp:revision>
  <dcterms:created xsi:type="dcterms:W3CDTF">2019-01-14T06:59:00Z</dcterms:created>
  <dcterms:modified xsi:type="dcterms:W3CDTF">2019-01-14T07:55:00Z</dcterms:modified>
</cp:coreProperties>
</file>