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52" w:rsidRPr="00107952" w:rsidRDefault="00107952" w:rsidP="00107952">
      <w:pPr>
        <w:shd w:val="clear" w:color="auto" w:fill="FFFFFF"/>
        <w:spacing w:before="300" w:after="150" w:line="240" w:lineRule="auto"/>
        <w:jc w:val="both"/>
        <w:outlineLvl w:val="2"/>
        <w:rPr>
          <w:rFonts w:ascii="Helvetica" w:eastAsia="Times New Roman" w:hAnsi="Helvetica" w:cs="Helvetica"/>
          <w:color w:val="06387A"/>
          <w:sz w:val="36"/>
          <w:szCs w:val="36"/>
          <w:lang w:eastAsia="ru-RU"/>
        </w:rPr>
      </w:pPr>
      <w:r w:rsidRPr="00107952">
        <w:rPr>
          <w:rFonts w:ascii="Helvetica" w:eastAsia="Times New Roman" w:hAnsi="Helvetica" w:cs="Helvetica"/>
          <w:color w:val="06387A"/>
          <w:sz w:val="36"/>
          <w:szCs w:val="36"/>
          <w:lang w:eastAsia="ru-RU"/>
        </w:rPr>
        <w:t>РЕКОМЕНДАЦИИ по организации работы мобильных групп по оказанию практической и методической помощи организациям всех сфер деятельности в обеспечении соблюдения законодательства об охране труда</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1.Настоящие Рекомендации разработаны в целях оказания помощи в организации деятельности мобильных групп, создаваемых для оказания практической и методической помощи организациям, расположенным на подведомственной территории местных исполнительных и распорядительных органов,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 (далее - мобильная группа).</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2.Мобильная группа может создаваться в районных исполнительных комитетах (далее - райисполком), городских исполнительных комитетах (далее - горисполком), местных администрациях районов в городах (далее - администрация района в городе) решением (распоряжением) соответственно райисполкома, горисполкома, администрации района в городе и осуществлять свою деятельность в отношении организаций всех сфер деятельности, расположенных на подведомственной территории.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3.Для руководства работой районных, городских мобильных групп и мобильных групп администраций районов в городе решением (распоряжением) облисполкома и Минского горисполкома могут создаваться областные (Минская городская) мобильные группы или эти функции могут возлагаться на комиссии по профилактике производственного травматизма и профессиональной заболеваемости (комиссиях по охране труда) при областных и Минском городском исполкомах.</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4.В состав мобильной группы рекомендуется включать представителей (представителя) райисполкома, горисполкома, администрации района в городе, а также представителей (по согласованию):</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обособленных территориальных подразделений Департамента государственной инспекции труда Министерства труда и социальной защиты Республики Беларусь;</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органов внутренних дел;</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органов, осуществляющих государственный санитарный надзор;</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органов государственного пожарного надзора;</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органов энергетического и газового надзора;</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органов государственного строительного надзора;</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Государственной инспекции по надзору за техническим состоянием машин и оборудования Министерства сельского хозяйства и продовольствия;</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Департамента по надзору за безопасным ведением работ в промышленности Министерства по чрезвычайным ситуациям Республики Беларусь;</w:t>
      </w:r>
    </w:p>
    <w:p w:rsidR="00107952" w:rsidRPr="00107952" w:rsidRDefault="00107952" w:rsidP="00107952">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профессиональных союзов.</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При необходимости к участию в работе мобильной группы могут привлекаться представители иных контролирующих (надзорных) органов.</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В работе мобильной группы могут принимать участие представители органов прокуратуры (по согласованию).</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5.Руководство работой мобильной группы осуществляет заместитель председателя райисполкома, горисполкома, заместитель главы администрации района в городе, который курирует вопросы охраны труда (соответствующее направление деятельности).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lastRenderedPageBreak/>
        <w:t>При необходимости из представителей райисполкома, горисполкома, администрации района в городе может назначаться заместитель руководителя мобильной группы.</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6.Работу мобильной группы рекомендуется осуществлять на основании месячных (квартальных) планов, утверждаемых руководителем мобильной группы.</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В плане работы мобильной группы рекомендуется предусматривать посещение мобильной группой, в первую очередь, организаций производственной сферы деятельности и организаций, допустивших случаи производственного травматизма, расположенных на подведомственной территории.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Решение о переносе срока посещения мобильной группой организаций принимается ее руководителем в письменной форме.</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7.Планы работы мобильной группы рекомендуется размещать на сайте райисполкома, горисполкома, администрации района в городе.</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Утвержденный руководителем мобильной группы план направляется для сведения и контроля в областные (Минскую городскую) мобильные группы или в соответствующие комиссии по профилактике производственного травматизма и профессиональной заболеваемости (комиссии по охране труда) при областных и Минском городском исполкомах.</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8.О посещении мобильной группой рекомендуется уведомлять руководителя организации (лицо, исполняющее его обязанности) для обеспечения присутствия его, либо уполномоченного должностного лица на посещаемом объекте.</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9.При посещении организаций мобильной группой рекомендуется изучать вопросы соблюдения требований нормативных правовых актов, технических нормативных правовых актов, определяющих организацию безопасного проведения соответствующего вида работ, выполнения требований Директивы Президента Республики Беларусь от 11 марта 2004 г. № 1 «О мерах по укреплению общественной безопасности и дисциплины».</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При необходимости мобильной группой организуется фотографирование либо иные способы фиксации выявленных нарушений законодательства.</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12.После посещения организации члены мобильной группы направляют информацию о выявленных нарушениях (недостатках) руководителю группы в установленные им сроки.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13.Результаты посещения организации мобильной группой оформляются в виде рекомендации с указанием следующей информации:</w:t>
      </w:r>
    </w:p>
    <w:p w:rsidR="00107952" w:rsidRPr="00107952" w:rsidRDefault="00107952" w:rsidP="00107952">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адрес местонахождения организации;</w:t>
      </w:r>
    </w:p>
    <w:p w:rsidR="00107952" w:rsidRPr="00107952" w:rsidRDefault="00107952" w:rsidP="00107952">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дата посещения организации мобильной группой;</w:t>
      </w:r>
    </w:p>
    <w:p w:rsidR="00107952" w:rsidRPr="00107952" w:rsidRDefault="00107952" w:rsidP="00107952">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состав мобильной группы;</w:t>
      </w:r>
    </w:p>
    <w:p w:rsidR="00107952" w:rsidRPr="00107952" w:rsidRDefault="00107952" w:rsidP="00107952">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описание выявленных фактов нарушения законодательства;</w:t>
      </w:r>
    </w:p>
    <w:p w:rsidR="00107952" w:rsidRPr="00107952" w:rsidRDefault="00107952" w:rsidP="00107952">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рекомендации по устранению выявленных нарушений (недостатков) и сроки их устранения;</w:t>
      </w:r>
    </w:p>
    <w:p w:rsidR="00107952" w:rsidRPr="00107952" w:rsidRDefault="00107952" w:rsidP="00107952">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порядок информирования мобильной группы о выполнении рекомендаций.</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14.Рекомендация в двух экземплярах подписывается руководителем мобильной группы и вручается под роспись представителю организации.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При невозможности вручения рекомендации руководителю организации (лицу, исполняющему обязанности) под роспись она направляется ему любым доступным способом с подтверждением получения.</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15.Порядок ведения делопроизводства мобильной группой и осуществление контроля за результатами рассмотрения рекомендаций мобильной группы устанавливается ее руководителем.</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lastRenderedPageBreak/>
        <w:t>16.Рекомендация, выданная мобильной группой, рассматривается руководителем организации (лицом, исполняющим обязанности).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17.При отсутствии возражений по содержанию рекомендаций мобильной группы, организация вправе добровольно устранить указанные в них нарушения (недостатки) и проинформировать об этом руководителя мобильной группы в установленные в рекомендациях сроки.</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18.При отсутствии в установленные в рекомендации сроки информации от организации об устранении выявленных нарушений законодательства или имеющейся в распоряжении мобильной группы информации о неисполнении ее рекомендаций, руководителем мобильной группы может быть инициировано повторное посещение организации мобильной группой.</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19.При повторном выявлении нарушений (недостатков), выявленных мобильной группой при проведении предыдущего посещения, члены мобильной группы могут инициировать в порядке, установленном соответствующими контролирующими (надзорными) органами, проведение внеплановых проверок названных организаций в соответствии с требованиями подпункта 12.2 пункта 12 Указа Президента Республики Беларусь от 16 октября 2009 г. № 510 «О совершенствовании контрольной (надзорной) деятельности в Республике Беларусь», или начало административного процесса.</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Информация о результатах проведения таких внеплановых проверок доводится членами мобильной группы до сведения ее руководителя.</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20.При необходимости руководителем мобильной группы может инициироваться рассмотрение вопроса о соблюдении законодательства в организациях, расположенных на подведомственной территории, на заседании райисполкома, горисполкома, администрации района в городе.</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21.Результаты деятельности мобильной группы и рассмотрения вопросов о соблюдении законодательства в организациях всех сфер деятельности, расположенных на подведомственной территории, на заседаниях соответственно райисполкома, горисполкома, администрации района в городе ежеквартально направляются руководителем мобильной группы в областные (Минскую городскую) мобильные группы или в соответствующие комиссии по профилактике производственного травматизма и профессиональной заболеваемости при областных и Минском городском исполкомах.</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22.Эффективность и результаты деятельности мобильных групп не реже одного раза в полугодие рекомендуется анализировать областными (Минской городской) мобильными группами или соответствующими комиссиями по профилактике производственного травматизма и профессиональной заболеваемости (комиссиями по охране труда) при областных и Минском городском исполкомах.</w:t>
      </w:r>
    </w:p>
    <w:p w:rsidR="00107952" w:rsidRPr="00107952" w:rsidRDefault="00107952" w:rsidP="00107952">
      <w:pPr>
        <w:shd w:val="clear" w:color="auto" w:fill="FFFFFF"/>
        <w:spacing w:before="225" w:after="225" w:line="240" w:lineRule="auto"/>
        <w:rPr>
          <w:rFonts w:ascii="Helvetica" w:eastAsia="Times New Roman" w:hAnsi="Helvetica" w:cs="Helvetica"/>
          <w:color w:val="0C0E10"/>
          <w:sz w:val="21"/>
          <w:szCs w:val="21"/>
          <w:lang w:eastAsia="ru-RU"/>
        </w:rPr>
      </w:pPr>
      <w:r w:rsidRPr="00107952">
        <w:rPr>
          <w:rFonts w:ascii="Helvetica" w:eastAsia="Times New Roman" w:hAnsi="Helvetica" w:cs="Helvetica"/>
          <w:color w:val="0C0E10"/>
          <w:sz w:val="21"/>
          <w:szCs w:val="21"/>
          <w:lang w:eastAsia="ru-RU"/>
        </w:rPr>
        <w:t>При необходимости ими может инициироваться рассмотрение вопроса о соблюдении законодательства в организациях, расположенных на подведомственной территории, на заседании соответственно облисполкома или Минского горисполкома, а также они имеют право ходатайствовать перед руководителями контролирующих (надзорных) органов о поощрении подчиненных им работников, входящих в состав соответствующих мобильных групп.</w:t>
      </w:r>
    </w:p>
    <w:p w:rsidR="00511D94" w:rsidRDefault="00511D94">
      <w:bookmarkStart w:id="0" w:name="_GoBack"/>
      <w:bookmarkEnd w:id="0"/>
    </w:p>
    <w:sectPr w:rsidR="00511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D6DB9"/>
    <w:multiLevelType w:val="multilevel"/>
    <w:tmpl w:val="424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0BE2"/>
    <w:multiLevelType w:val="multilevel"/>
    <w:tmpl w:val="2F4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33"/>
    <w:rsid w:val="000A3233"/>
    <w:rsid w:val="00107952"/>
    <w:rsid w:val="0051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196A5-F0B5-4047-8140-957EA386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079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79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7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7433</Characters>
  <Application>Microsoft Office Word</Application>
  <DocSecurity>0</DocSecurity>
  <Lines>61</Lines>
  <Paragraphs>17</Paragraphs>
  <ScaleCrop>false</ScaleCrop>
  <Company>Управление по труду</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2022-03-11T06:23:00Z</dcterms:created>
  <dcterms:modified xsi:type="dcterms:W3CDTF">2022-03-11T06:23:00Z</dcterms:modified>
</cp:coreProperties>
</file>