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C6" w:rsidRDefault="00896A03" w:rsidP="002B7AC6">
      <w:pPr>
        <w:pStyle w:val="a00"/>
        <w:divId w:val="224071777"/>
        <w:rPr>
          <w:rFonts w:eastAsia="Times New Roman"/>
          <w:b/>
          <w:sz w:val="28"/>
          <w:szCs w:val="28"/>
        </w:rPr>
      </w:pPr>
      <w:r>
        <w:t> </w:t>
      </w:r>
      <w:bookmarkStart w:id="0" w:name="a1"/>
      <w:bookmarkEnd w:id="0"/>
      <w:r w:rsidRPr="002B7AC6">
        <w:rPr>
          <w:rFonts w:eastAsia="Times New Roman"/>
          <w:b/>
          <w:sz w:val="28"/>
          <w:szCs w:val="28"/>
        </w:rPr>
        <w:t xml:space="preserve">Порядок применения надбавок и доплат работникам центров </w:t>
      </w:r>
      <w:r w:rsidR="002B7AC6">
        <w:rPr>
          <w:rFonts w:eastAsia="Times New Roman"/>
          <w:b/>
          <w:sz w:val="28"/>
          <w:szCs w:val="28"/>
        </w:rPr>
        <w:t xml:space="preserve">      </w:t>
      </w:r>
    </w:p>
    <w:p w:rsidR="00E0135A" w:rsidRPr="002B7AC6" w:rsidRDefault="002B7AC6" w:rsidP="002B7AC6">
      <w:pPr>
        <w:pStyle w:val="a00"/>
        <w:divId w:val="224071777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</w:t>
      </w:r>
      <w:r w:rsidR="00896A03" w:rsidRPr="002B7AC6">
        <w:rPr>
          <w:rFonts w:eastAsia="Times New Roman"/>
          <w:b/>
          <w:sz w:val="28"/>
          <w:szCs w:val="28"/>
        </w:rPr>
        <w:t>с 1 июля</w:t>
      </w:r>
      <w:r>
        <w:rPr>
          <w:rFonts w:eastAsia="Times New Roman"/>
          <w:b/>
          <w:sz w:val="28"/>
          <w:szCs w:val="28"/>
        </w:rPr>
        <w:t xml:space="preserve"> 2021 года.</w:t>
      </w:r>
      <w:bookmarkStart w:id="1" w:name="_GoBack"/>
      <w:bookmarkEnd w:id="1"/>
      <w:r w:rsidR="00896A03" w:rsidRPr="002B7AC6">
        <w:rPr>
          <w:sz w:val="28"/>
          <w:szCs w:val="28"/>
        </w:rPr>
        <w:t> </w:t>
      </w:r>
    </w:p>
    <w:p w:rsidR="00E0135A" w:rsidRPr="002B7AC6" w:rsidRDefault="002B7AC6" w:rsidP="002B7AC6">
      <w:pPr>
        <w:pStyle w:val="justify"/>
        <w:spacing w:after="0"/>
        <w:divId w:val="224071777"/>
        <w:rPr>
          <w:sz w:val="28"/>
          <w:szCs w:val="28"/>
        </w:rPr>
      </w:pPr>
      <w:r w:rsidRPr="002B7AC6">
        <w:rPr>
          <w:noProof/>
          <w:sz w:val="28"/>
          <w:szCs w:val="28"/>
        </w:rPr>
        <w:t xml:space="preserve">Управление по труду, занятости и социальной защите Бешенковичского райисполкома  сообщает, </w:t>
      </w:r>
      <w:proofErr w:type="gramStart"/>
      <w:r w:rsidRPr="002B7AC6">
        <w:rPr>
          <w:noProof/>
          <w:sz w:val="28"/>
          <w:szCs w:val="28"/>
        </w:rPr>
        <w:t>что</w:t>
      </w:r>
      <w:r>
        <w:rPr>
          <w:noProof/>
          <w:sz w:val="28"/>
          <w:szCs w:val="28"/>
        </w:rPr>
        <w:t xml:space="preserve"> </w:t>
      </w:r>
      <w:r w:rsidRPr="002B7AC6">
        <w:rPr>
          <w:noProof/>
          <w:sz w:val="28"/>
          <w:szCs w:val="28"/>
        </w:rPr>
        <w:t xml:space="preserve"> </w:t>
      </w:r>
      <w:hyperlink r:id="rId4" w:anchor="a1" w:tooltip="+" w:history="1">
        <w:r w:rsidR="00896A03" w:rsidRPr="002B7AC6">
          <w:rPr>
            <w:rStyle w:val="a3"/>
            <w:sz w:val="28"/>
            <w:szCs w:val="28"/>
          </w:rPr>
          <w:t>Постановление</w:t>
        </w:r>
        <w:proofErr w:type="gramEnd"/>
        <w:r w:rsidR="00896A03" w:rsidRPr="002B7AC6">
          <w:rPr>
            <w:rStyle w:val="a3"/>
            <w:sz w:val="28"/>
            <w:szCs w:val="28"/>
          </w:rPr>
          <w:t xml:space="preserve"> Совета Министров от 31.12.2019 № 948</w:t>
        </w:r>
      </w:hyperlink>
      <w:r w:rsidR="00896A03" w:rsidRPr="002B7AC6">
        <w:rPr>
          <w:sz w:val="28"/>
          <w:szCs w:val="28"/>
        </w:rPr>
        <w:t xml:space="preserve"> дополнено </w:t>
      </w:r>
      <w:hyperlink r:id="rId5" w:anchor="a44" w:tooltip="+" w:history="1">
        <w:r w:rsidR="00896A03" w:rsidRPr="002B7AC6">
          <w:rPr>
            <w:rStyle w:val="a3"/>
            <w:sz w:val="28"/>
            <w:szCs w:val="28"/>
          </w:rPr>
          <w:t>Положением о порядке осуществления и размерах стимулирующих и компенсирующих выплат работникам центров</w:t>
        </w:r>
      </w:hyperlink>
      <w:r w:rsidR="00896A03" w:rsidRPr="002B7AC6">
        <w:rPr>
          <w:sz w:val="28"/>
          <w:szCs w:val="28"/>
        </w:rPr>
        <w:t>.</w:t>
      </w:r>
    </w:p>
    <w:p w:rsidR="00E0135A" w:rsidRPr="002B7AC6" w:rsidRDefault="00896A03" w:rsidP="002B7AC6">
      <w:pPr>
        <w:pStyle w:val="justify"/>
        <w:spacing w:after="0"/>
        <w:divId w:val="224071777"/>
        <w:rPr>
          <w:sz w:val="28"/>
          <w:szCs w:val="28"/>
        </w:rPr>
      </w:pPr>
      <w:r w:rsidRPr="002B7AC6">
        <w:rPr>
          <w:sz w:val="28"/>
          <w:szCs w:val="28"/>
        </w:rPr>
        <w:t xml:space="preserve">Надбавка </w:t>
      </w:r>
      <w:r w:rsidRPr="002B7AC6">
        <w:rPr>
          <w:b/>
          <w:bCs/>
          <w:sz w:val="28"/>
          <w:szCs w:val="28"/>
        </w:rPr>
        <w:t>за специфику труда</w:t>
      </w:r>
      <w:r w:rsidRPr="002B7AC6">
        <w:rPr>
          <w:sz w:val="28"/>
          <w:szCs w:val="28"/>
        </w:rPr>
        <w:t xml:space="preserve"> устанавливается работникам центров по обеспечению деятельности бюджетных организаций из числа руководителей, специалистов и других служащих в размере 100 % оклада работника.</w:t>
      </w:r>
    </w:p>
    <w:p w:rsidR="00E0135A" w:rsidRPr="002B7AC6" w:rsidRDefault="00896A03" w:rsidP="002B7AC6">
      <w:pPr>
        <w:pStyle w:val="justify"/>
        <w:spacing w:after="0"/>
        <w:divId w:val="224071777"/>
        <w:rPr>
          <w:sz w:val="28"/>
          <w:szCs w:val="28"/>
        </w:rPr>
      </w:pPr>
      <w:r w:rsidRPr="002B7AC6">
        <w:rPr>
          <w:sz w:val="28"/>
          <w:szCs w:val="28"/>
        </w:rPr>
        <w:t xml:space="preserve">На установление надбавки </w:t>
      </w:r>
      <w:r w:rsidRPr="002B7AC6">
        <w:rPr>
          <w:b/>
          <w:bCs/>
          <w:sz w:val="28"/>
          <w:szCs w:val="28"/>
        </w:rPr>
        <w:t>за сложность и напряженность труда</w:t>
      </w:r>
      <w:r w:rsidRPr="002B7AC6">
        <w:rPr>
          <w:sz w:val="28"/>
          <w:szCs w:val="28"/>
        </w:rPr>
        <w:t xml:space="preserve"> направляются бюджетные средства в размере до 85 % суммы окладов работников.</w:t>
      </w:r>
    </w:p>
    <w:p w:rsidR="00E0135A" w:rsidRPr="002B7AC6" w:rsidRDefault="00896A03" w:rsidP="002B7AC6">
      <w:pPr>
        <w:pStyle w:val="justify"/>
        <w:spacing w:after="0"/>
        <w:divId w:val="224071777"/>
        <w:rPr>
          <w:sz w:val="28"/>
          <w:szCs w:val="28"/>
        </w:rPr>
      </w:pPr>
      <w:r w:rsidRPr="002B7AC6">
        <w:rPr>
          <w:sz w:val="28"/>
          <w:szCs w:val="28"/>
        </w:rPr>
        <w:t>Порядок применения данной надбавки и определения ее размера устанавливает управляющий центра. При этом учитываются качество и срочность выполняемых работ, степень участия в обеспечении деятельности госорганов, выполнение работ на высоком профессиональном уровне и иные критерии по решению управляющего центра.</w:t>
      </w:r>
    </w:p>
    <w:p w:rsidR="00E0135A" w:rsidRPr="002B7AC6" w:rsidRDefault="00896A03" w:rsidP="002B7AC6">
      <w:pPr>
        <w:pStyle w:val="justify"/>
        <w:spacing w:after="0"/>
        <w:divId w:val="224071777"/>
        <w:rPr>
          <w:sz w:val="28"/>
          <w:szCs w:val="28"/>
        </w:rPr>
      </w:pPr>
      <w:r w:rsidRPr="002B7AC6">
        <w:rPr>
          <w:sz w:val="28"/>
          <w:szCs w:val="28"/>
        </w:rPr>
        <w:t>Надбавка за сложность и напряженность труда управляющему центра устанавливается по решению нанимателя.</w:t>
      </w:r>
    </w:p>
    <w:p w:rsidR="00E0135A" w:rsidRPr="002B7AC6" w:rsidRDefault="00896A03" w:rsidP="002B7AC6">
      <w:pPr>
        <w:pStyle w:val="justify"/>
        <w:spacing w:after="0"/>
        <w:divId w:val="224071777"/>
        <w:rPr>
          <w:sz w:val="28"/>
          <w:szCs w:val="28"/>
        </w:rPr>
      </w:pPr>
      <w:r w:rsidRPr="002B7AC6">
        <w:rPr>
          <w:sz w:val="28"/>
          <w:szCs w:val="28"/>
        </w:rPr>
        <w:t xml:space="preserve">Надбавка </w:t>
      </w:r>
      <w:r w:rsidRPr="002B7AC6">
        <w:rPr>
          <w:b/>
          <w:bCs/>
          <w:sz w:val="28"/>
          <w:szCs w:val="28"/>
        </w:rPr>
        <w:t>молодым специалистам</w:t>
      </w:r>
      <w:r w:rsidRPr="002B7AC6">
        <w:rPr>
          <w:sz w:val="28"/>
          <w:szCs w:val="28"/>
        </w:rPr>
        <w:t xml:space="preserve"> из числа выпускников, получивших высшее и среднее специальное образование, которым место работы предоставлено путем распределения (перераспределения), направления на работу (последующего направления на работу) в центры, в течение 2 лет с даты приема их на работу по распределению (направлению) устанавливается в размере 10 % от оклада.</w:t>
      </w:r>
    </w:p>
    <w:p w:rsidR="00E0135A" w:rsidRPr="002B7AC6" w:rsidRDefault="00896A03" w:rsidP="002B7AC6">
      <w:pPr>
        <w:pStyle w:val="justify"/>
        <w:spacing w:after="0"/>
        <w:divId w:val="224071777"/>
        <w:rPr>
          <w:sz w:val="28"/>
          <w:szCs w:val="28"/>
        </w:rPr>
      </w:pPr>
      <w:r w:rsidRPr="002B7AC6">
        <w:rPr>
          <w:sz w:val="28"/>
          <w:szCs w:val="28"/>
        </w:rPr>
        <w:t>В случае приема на работу выпускников в центр до момента выдачи свидетельства о направлении на работу (при распределении (направлении)) указанная надбавка устанавливается в течение 2 лет с даты выдачи свидетельства о направлении на работу.</w:t>
      </w:r>
    </w:p>
    <w:p w:rsidR="00E0135A" w:rsidRPr="002B7AC6" w:rsidRDefault="00896A03" w:rsidP="002B7AC6">
      <w:pPr>
        <w:pStyle w:val="justify"/>
        <w:spacing w:after="0"/>
        <w:divId w:val="224071777"/>
        <w:rPr>
          <w:sz w:val="28"/>
          <w:szCs w:val="28"/>
        </w:rPr>
      </w:pPr>
      <w:r w:rsidRPr="002B7AC6">
        <w:rPr>
          <w:sz w:val="28"/>
          <w:szCs w:val="28"/>
        </w:rPr>
        <w:t xml:space="preserve">Доплата </w:t>
      </w:r>
      <w:r w:rsidRPr="002B7AC6">
        <w:rPr>
          <w:b/>
          <w:bCs/>
          <w:sz w:val="28"/>
          <w:szCs w:val="28"/>
        </w:rPr>
        <w:t>за характер труда</w:t>
      </w:r>
      <w:r w:rsidRPr="002B7AC6">
        <w:rPr>
          <w:sz w:val="28"/>
          <w:szCs w:val="28"/>
        </w:rPr>
        <w:t xml:space="preserve"> устанавливается работникам центров из числа рабочих:</w:t>
      </w:r>
    </w:p>
    <w:p w:rsidR="00E0135A" w:rsidRPr="002B7AC6" w:rsidRDefault="00896A03" w:rsidP="002B7AC6">
      <w:pPr>
        <w:pStyle w:val="justify"/>
        <w:spacing w:after="0"/>
        <w:divId w:val="224071777"/>
        <w:rPr>
          <w:sz w:val="28"/>
          <w:szCs w:val="28"/>
        </w:rPr>
      </w:pPr>
      <w:r w:rsidRPr="002B7AC6">
        <w:rPr>
          <w:sz w:val="28"/>
          <w:szCs w:val="28"/>
        </w:rPr>
        <w:t>• водителям автомобилей - в размере 100 % оклада работника;</w:t>
      </w:r>
    </w:p>
    <w:p w:rsidR="00E0135A" w:rsidRPr="002B7AC6" w:rsidRDefault="00896A03" w:rsidP="002B7AC6">
      <w:pPr>
        <w:pStyle w:val="justify"/>
        <w:spacing w:after="0"/>
        <w:divId w:val="224071777"/>
        <w:rPr>
          <w:sz w:val="28"/>
          <w:szCs w:val="28"/>
        </w:rPr>
      </w:pPr>
      <w:r w:rsidRPr="002B7AC6">
        <w:rPr>
          <w:sz w:val="28"/>
          <w:szCs w:val="28"/>
        </w:rPr>
        <w:t>• иным рабочим - в размере 30 % оклада работника.</w:t>
      </w:r>
    </w:p>
    <w:p w:rsidR="00E0135A" w:rsidRPr="002B7AC6" w:rsidRDefault="00896A03" w:rsidP="002B7AC6">
      <w:pPr>
        <w:pStyle w:val="justify"/>
        <w:spacing w:after="0"/>
        <w:divId w:val="224071777"/>
        <w:rPr>
          <w:sz w:val="28"/>
          <w:szCs w:val="28"/>
        </w:rPr>
      </w:pPr>
      <w:r w:rsidRPr="002B7AC6">
        <w:rPr>
          <w:sz w:val="28"/>
          <w:szCs w:val="28"/>
        </w:rPr>
        <w:t xml:space="preserve">Соответствующие решения закреплены </w:t>
      </w:r>
      <w:hyperlink r:id="rId6" w:anchor="a2" w:tooltip="+" w:history="1">
        <w:r w:rsidRPr="002B7AC6">
          <w:rPr>
            <w:rStyle w:val="a3"/>
            <w:sz w:val="28"/>
            <w:szCs w:val="28"/>
          </w:rPr>
          <w:t>постановлением Совета Министров от 27.01.2021 № 46</w:t>
        </w:r>
      </w:hyperlink>
      <w:r w:rsidRPr="002B7AC6">
        <w:rPr>
          <w:sz w:val="28"/>
          <w:szCs w:val="28"/>
        </w:rPr>
        <w:t xml:space="preserve">, которое вступает в силу </w:t>
      </w:r>
      <w:r w:rsidRPr="002B7AC6">
        <w:rPr>
          <w:b/>
          <w:bCs/>
          <w:sz w:val="28"/>
          <w:szCs w:val="28"/>
        </w:rPr>
        <w:t>с 1 июля 2021 г.</w:t>
      </w:r>
    </w:p>
    <w:p w:rsidR="00E0135A" w:rsidRPr="002B7AC6" w:rsidRDefault="00896A03" w:rsidP="002B7AC6">
      <w:pPr>
        <w:pStyle w:val="justify"/>
        <w:spacing w:after="0"/>
        <w:divId w:val="224071777"/>
        <w:rPr>
          <w:sz w:val="28"/>
          <w:szCs w:val="28"/>
        </w:rPr>
      </w:pPr>
      <w:r w:rsidRPr="002B7AC6">
        <w:rPr>
          <w:sz w:val="28"/>
          <w:szCs w:val="28"/>
        </w:rPr>
        <w:t> </w:t>
      </w:r>
    </w:p>
    <w:p w:rsidR="00E0135A" w:rsidRPr="002B7AC6" w:rsidRDefault="00E0135A" w:rsidP="002B7AC6">
      <w:pPr>
        <w:pStyle w:val="a00"/>
        <w:spacing w:after="0"/>
        <w:divId w:val="224071777"/>
        <w:rPr>
          <w:sz w:val="28"/>
          <w:szCs w:val="28"/>
        </w:rPr>
      </w:pPr>
    </w:p>
    <w:p w:rsidR="00896A03" w:rsidRPr="002B7AC6" w:rsidRDefault="00896A03" w:rsidP="002B7AC6">
      <w:pPr>
        <w:pStyle w:val="justify"/>
        <w:spacing w:after="0"/>
        <w:divId w:val="224071777"/>
        <w:rPr>
          <w:sz w:val="28"/>
          <w:szCs w:val="28"/>
        </w:rPr>
      </w:pPr>
      <w:r w:rsidRPr="002B7AC6">
        <w:rPr>
          <w:sz w:val="28"/>
          <w:szCs w:val="28"/>
        </w:rPr>
        <w:t> </w:t>
      </w:r>
    </w:p>
    <w:sectPr w:rsidR="00896A03" w:rsidRPr="002B7AC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F5"/>
    <w:rsid w:val="002B7AC6"/>
    <w:rsid w:val="00896A03"/>
    <w:rsid w:val="00BE4918"/>
    <w:rsid w:val="00D138F5"/>
    <w:rsid w:val="00E0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12486-1FDB-4166-91D2-FD97E694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177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1;&#1102;&#1076;&#1084;&#1080;&#1083;&#1072;\Downloads\tx.dll%3fd=448371&amp;a=2" TargetMode="External"/><Relationship Id="rId5" Type="http://schemas.openxmlformats.org/officeDocument/2006/relationships/hyperlink" Target="file:///C:\Users\&#1051;&#1102;&#1076;&#1084;&#1080;&#1083;&#1072;\Downloads\tx.dll%3fd=418383&amp;a=44" TargetMode="External"/><Relationship Id="rId4" Type="http://schemas.openxmlformats.org/officeDocument/2006/relationships/hyperlink" Target="file:///C:\Users\&#1051;&#1102;&#1076;&#1084;&#1080;&#1083;&#1072;\Downloads\tx.dll%3fd=418383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2021-02-11T09:04:00Z</cp:lastPrinted>
  <dcterms:created xsi:type="dcterms:W3CDTF">2021-02-10T05:52:00Z</dcterms:created>
  <dcterms:modified xsi:type="dcterms:W3CDTF">2021-02-11T09:04:00Z</dcterms:modified>
</cp:coreProperties>
</file>