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CD" w:rsidRPr="005A68CD" w:rsidRDefault="005A68CD" w:rsidP="005A68C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Концепция нулевого травматизма «</w:t>
      </w:r>
      <w:proofErr w:type="spellStart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Vision</w:t>
      </w:r>
      <w:proofErr w:type="spellEnd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 </w:t>
      </w:r>
      <w:proofErr w:type="spellStart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Zero</w:t>
      </w:r>
      <w:proofErr w:type="spellEnd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»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drawing>
          <wp:inline distT="0" distB="0" distL="0" distR="0">
            <wp:extent cx="3429000" cy="695325"/>
            <wp:effectExtent l="0" t="0" r="0" b="9525"/>
            <wp:docPr id="2" name="Рисунок 2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«</w:t>
      </w:r>
      <w:proofErr w:type="spellStart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Vision</w:t>
      </w:r>
      <w:proofErr w:type="spellEnd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 xml:space="preserve"> </w:t>
      </w:r>
      <w:proofErr w:type="spellStart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Zero</w:t>
      </w:r>
      <w:proofErr w:type="spellEnd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Vision</w:t>
      </w:r>
      <w:proofErr w:type="spellEnd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 xml:space="preserve"> </w:t>
      </w:r>
      <w:proofErr w:type="spellStart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Zero</w:t>
      </w:r>
      <w:proofErr w:type="spellEnd"/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drawing>
          <wp:inline distT="0" distB="0" distL="0" distR="0">
            <wp:extent cx="6305550" cy="4314825"/>
            <wp:effectExtent l="0" t="0" r="0" b="9525"/>
            <wp:docPr id="1" name="Рисунок 1" descr="http://storage.git.gov.by/source/1/5pys7uyq_w_ycxB10pEjJ9kTE63uc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5pys7uyq_w_ycxB10pEjJ9kTE63uctS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CD" w:rsidRPr="005A68CD" w:rsidRDefault="005A68CD" w:rsidP="005A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CD">
        <w:rPr>
          <w:rFonts w:ascii="Helvetica" w:eastAsia="Times New Roman" w:hAnsi="Helvetica" w:cs="Helvetica"/>
          <w:color w:val="0C0E10"/>
          <w:sz w:val="21"/>
          <w:szCs w:val="21"/>
          <w:shd w:val="clear" w:color="auto" w:fill="FFFFFF"/>
          <w:lang w:eastAsia="ru-RU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 Стать лидером – показать приверженность принципам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</w:t>
      </w: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последовательностью и вниманием к деталям.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 Выявлять угрозы – контролировать риски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травмоопасные</w:t>
      </w:r>
      <w:proofErr w:type="spellEnd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ситуации.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травмоопасных</w:t>
      </w:r>
      <w:proofErr w:type="spellEnd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 Определять цели – разрабатывать программы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Безопасность и гигиена труда </w:t>
      </w:r>
      <w:proofErr w:type="gramStart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включает</w:t>
      </w:r>
      <w:proofErr w:type="gramEnd"/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4. Создать систему безопасности и гигиены труда – достичь высокого уровня организации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5. Обеспечивать безопасность и гигиену труда на рабочих местах при работе со станками и оборудованием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6. Повышать квалификацию – развивать профессиональные навыки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BC5B07" w:rsidRPr="00BC5B07" w:rsidRDefault="00BC5B07" w:rsidP="00BC5B0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7. Инвестировать в кадры – мотивировать посредством участия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BC5B07" w:rsidRPr="00BC5B07" w:rsidRDefault="00BC5B07" w:rsidP="00BC5B07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5B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p w:rsidR="00BC5B07" w:rsidRDefault="00BC5B07">
      <w:bookmarkStart w:id="0" w:name="_GoBack"/>
      <w:bookmarkEnd w:id="0"/>
    </w:p>
    <w:sectPr w:rsidR="00BC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D"/>
    <w:rsid w:val="005A68CD"/>
    <w:rsid w:val="00BC5B07"/>
    <w:rsid w:val="00E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9C2-117A-453E-9E81-6856F5D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8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1281</Words>
  <Characters>7308</Characters>
  <Application>Microsoft Office Word</Application>
  <DocSecurity>0</DocSecurity>
  <Lines>60</Lines>
  <Paragraphs>17</Paragraphs>
  <ScaleCrop>false</ScaleCrop>
  <Company>Управление по труду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П.П.</dc:creator>
  <cp:keywords/>
  <dc:description/>
  <cp:lastModifiedBy>Тихоненко П.П.</cp:lastModifiedBy>
  <cp:revision>2</cp:revision>
  <dcterms:created xsi:type="dcterms:W3CDTF">2021-06-02T06:42:00Z</dcterms:created>
  <dcterms:modified xsi:type="dcterms:W3CDTF">2021-06-02T06:49:00Z</dcterms:modified>
</cp:coreProperties>
</file>