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95" w:rsidRPr="00765254" w:rsidRDefault="00ED133B" w:rsidP="00765254">
      <w:pPr>
        <w:pStyle w:val="a00"/>
        <w:spacing w:after="0"/>
        <w:divId w:val="1844585795"/>
        <w:rPr>
          <w:rFonts w:eastAsia="Times New Roman"/>
          <w:b/>
          <w:sz w:val="28"/>
          <w:szCs w:val="28"/>
        </w:rPr>
      </w:pPr>
      <w:r>
        <w:t> </w:t>
      </w:r>
      <w:r w:rsidR="00D9643A">
        <w:t xml:space="preserve">Управление по труду, занятости и социальной защите </w:t>
      </w:r>
      <w:r w:rsidR="00765254">
        <w:t>Б</w:t>
      </w:r>
      <w:r w:rsidR="00D9643A">
        <w:t>ешенковичского</w:t>
      </w:r>
      <w:r w:rsidR="00765254">
        <w:t xml:space="preserve"> </w:t>
      </w:r>
      <w:r w:rsidR="00D9643A">
        <w:t>райисполкома информирует, что</w:t>
      </w:r>
      <w:bookmarkStart w:id="0" w:name="a4"/>
      <w:bookmarkEnd w:id="0"/>
      <w:r w:rsidR="00D9643A">
        <w:t xml:space="preserve">    </w:t>
      </w:r>
      <w:r w:rsidRPr="00D9643A">
        <w:rPr>
          <w:rFonts w:eastAsia="Times New Roman"/>
          <w:b/>
        </w:rPr>
        <w:t xml:space="preserve">С 1 МАЯ 2021 ГОДА МЕНЯЮТСЯ ПРАВИЛА ПОВЫШЕНИЯ </w:t>
      </w:r>
      <w:proofErr w:type="gramStart"/>
      <w:r w:rsidRPr="00D9643A">
        <w:rPr>
          <w:rFonts w:eastAsia="Times New Roman"/>
          <w:b/>
        </w:rPr>
        <w:t>РАЗМЕРОВ</w:t>
      </w:r>
      <w:r w:rsidR="00765254">
        <w:rPr>
          <w:rFonts w:eastAsia="Times New Roman"/>
          <w:b/>
        </w:rPr>
        <w:t xml:space="preserve"> </w:t>
      </w:r>
      <w:r w:rsidRPr="00D9643A">
        <w:rPr>
          <w:rFonts w:eastAsia="Times New Roman"/>
          <w:b/>
        </w:rPr>
        <w:t xml:space="preserve"> ОПЛАТЫ</w:t>
      </w:r>
      <w:proofErr w:type="gramEnd"/>
      <w:r w:rsidRPr="00D9643A">
        <w:rPr>
          <w:rFonts w:eastAsia="Times New Roman"/>
          <w:b/>
        </w:rPr>
        <w:t xml:space="preserve"> ТРУДА РАБОТНИКОВ ГОСУДАРСТВЕННЫХ ОРГАНИЗАЦИЙ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 w:rsidR="00D9643A">
        <w:rPr>
          <w:rFonts w:eastAsia="Times New Roman"/>
        </w:rPr>
        <w:t xml:space="preserve">               </w:t>
      </w:r>
      <w:r w:rsidRPr="00765254">
        <w:rPr>
          <w:rFonts w:eastAsia="Times New Roman"/>
          <w:b/>
          <w:sz w:val="28"/>
          <w:szCs w:val="28"/>
        </w:rPr>
        <w:t>Комментарий к </w:t>
      </w:r>
      <w:hyperlink r:id="rId4" w:anchor="a1" w:tooltip="+" w:history="1">
        <w:r w:rsidRPr="00765254">
          <w:rPr>
            <w:rStyle w:val="a3"/>
            <w:rFonts w:eastAsia="Times New Roman"/>
            <w:b/>
            <w:sz w:val="28"/>
            <w:szCs w:val="28"/>
          </w:rPr>
          <w:t>постановлению</w:t>
        </w:r>
      </w:hyperlink>
      <w:r w:rsidRPr="00765254">
        <w:rPr>
          <w:rFonts w:eastAsia="Times New Roman"/>
          <w:b/>
          <w:sz w:val="28"/>
          <w:szCs w:val="28"/>
        </w:rPr>
        <w:t xml:space="preserve"> Совмина от 23.04.2021 № 243</w:t>
      </w:r>
      <w:r w:rsidR="00765254">
        <w:rPr>
          <w:rFonts w:eastAsia="Times New Roman"/>
          <w:b/>
          <w:sz w:val="28"/>
          <w:szCs w:val="28"/>
        </w:rPr>
        <w:t>.</w:t>
      </w:r>
    </w:p>
    <w:p w:rsidR="00C87995" w:rsidRDefault="00765254" w:rsidP="00765254">
      <w:pPr>
        <w:pStyle w:val="justify"/>
        <w:spacing w:after="0"/>
        <w:divId w:val="1844585795"/>
      </w:pPr>
      <w:r>
        <w:t>Постановление</w:t>
      </w:r>
      <w:bookmarkStart w:id="1" w:name="_GoBack"/>
      <w:bookmarkEnd w:id="1"/>
      <w:r w:rsidR="00ED133B">
        <w:t xml:space="preserve"> </w:t>
      </w:r>
      <w:r w:rsidR="00ED133B">
        <w:rPr>
          <w:b/>
          <w:bCs/>
        </w:rPr>
        <w:t xml:space="preserve">вступает в силу с 1 мая 2021 г. и </w:t>
      </w:r>
      <w:proofErr w:type="gramStart"/>
      <w:r w:rsidR="00ED133B">
        <w:rPr>
          <w:b/>
          <w:bCs/>
        </w:rPr>
        <w:t>корректирует</w:t>
      </w:r>
      <w:r w:rsidR="00ED133B">
        <w:t>  </w:t>
      </w:r>
      <w:hyperlink r:id="rId5" w:anchor="a15" w:tooltip="+" w:history="1">
        <w:r w:rsidR="00ED133B">
          <w:rPr>
            <w:rStyle w:val="a3"/>
          </w:rPr>
          <w:t>п.</w:t>
        </w:r>
        <w:proofErr w:type="gramEnd"/>
        <w:r w:rsidR="00ED133B">
          <w:rPr>
            <w:rStyle w:val="a3"/>
          </w:rPr>
          <w:t>1</w:t>
        </w:r>
      </w:hyperlink>
      <w:r w:rsidR="00ED133B">
        <w:t xml:space="preserve"> постановления Совмина от 31.07.2014 № 744 «Об оплате труда работников».</w:t>
      </w:r>
    </w:p>
    <w:p w:rsidR="00C87995" w:rsidRDefault="00ED133B" w:rsidP="00D9643A">
      <w:pPr>
        <w:pStyle w:val="justify"/>
        <w:spacing w:after="0"/>
        <w:divId w:val="1844585795"/>
      </w:pPr>
      <w:r>
        <w:t>В результате руководителям государственных организаций, а также организаций, в уставном фонде которых доля собственности государства составляет более 50 % (далее - государственные организации), предоставлено больше возможностей для изменения размеров оплаты труда и (или) структуры заработной платы.</w:t>
      </w:r>
    </w:p>
    <w:p w:rsidR="00C87995" w:rsidRDefault="00ED133B" w:rsidP="00D9643A">
      <w:pPr>
        <w:pStyle w:val="2"/>
        <w:spacing w:before="0" w:after="0"/>
        <w:divId w:val="1844585795"/>
        <w:rPr>
          <w:rFonts w:eastAsia="Times New Roman"/>
        </w:rPr>
      </w:pPr>
      <w:bookmarkStart w:id="2" w:name="a1"/>
      <w:bookmarkEnd w:id="2"/>
      <w:r>
        <w:rPr>
          <w:rFonts w:eastAsia="Times New Roman"/>
        </w:rPr>
        <w:t>Возможности пересмотра размеров и (или) структуры заработной платы</w:t>
      </w:r>
    </w:p>
    <w:p w:rsidR="00C87995" w:rsidRDefault="00ED133B" w:rsidP="00D9643A">
      <w:pPr>
        <w:pStyle w:val="justify"/>
        <w:spacing w:after="0"/>
        <w:divId w:val="1844585795"/>
      </w:pPr>
      <w:r>
        <w:t xml:space="preserve">1. Руководители государственных организаций могут изменять размеры оплаты труда и (или) структуру заработной платы </w:t>
      </w:r>
      <w:r>
        <w:rPr>
          <w:b/>
          <w:bCs/>
        </w:rPr>
        <w:t>при условии сохранения общего размера оплаты труда</w:t>
      </w:r>
      <w:r>
        <w:t>, установленного локальными правовыми актами и трудовыми договорами (</w:t>
      </w:r>
      <w:hyperlink r:id="rId6" w:anchor="a16" w:tooltip="+" w:history="1">
        <w:r>
          <w:rPr>
            <w:rStyle w:val="a3"/>
          </w:rPr>
          <w:t>абзац 2</w:t>
        </w:r>
      </w:hyperlink>
      <w:r>
        <w:t xml:space="preserve"> части первой п.1).</w:t>
      </w:r>
    </w:p>
    <w:p w:rsidR="00C87995" w:rsidRDefault="00ED133B" w:rsidP="00D9643A">
      <w:pPr>
        <w:pStyle w:val="justify"/>
        <w:spacing w:after="0"/>
        <w:divId w:val="1844585795"/>
      </w:pPr>
      <w:r>
        <w:t>То есть допускается:</w:t>
      </w:r>
    </w:p>
    <w:p w:rsidR="00C87995" w:rsidRDefault="00ED133B" w:rsidP="00D9643A">
      <w:pPr>
        <w:pStyle w:val="justify"/>
        <w:spacing w:after="0"/>
        <w:divId w:val="1844585795"/>
      </w:pPr>
      <w:r>
        <w:t>• единовременный пересмотр размеров тарифных ставок (тарифных окладов) работников при индексации заработной платы;</w:t>
      </w:r>
    </w:p>
    <w:p w:rsidR="00C87995" w:rsidRDefault="00ED133B" w:rsidP="00D9643A">
      <w:pPr>
        <w:pStyle w:val="justify"/>
        <w:spacing w:after="0"/>
        <w:divId w:val="1844585795"/>
      </w:pPr>
      <w:r>
        <w:t>• совершенствование структуры заработной платы работников.</w:t>
      </w:r>
    </w:p>
    <w:p w:rsidR="00C87995" w:rsidRDefault="00ED133B" w:rsidP="00D9643A">
      <w:pPr>
        <w:pStyle w:val="justify"/>
        <w:spacing w:after="0"/>
        <w:divId w:val="1844585795"/>
      </w:pPr>
      <w:r>
        <w:t>При этом необходимо сохранять общий размер оплаты труда, установленный ЛПА, трудовыми договорами.</w:t>
      </w:r>
    </w:p>
    <w:p w:rsidR="00C87995" w:rsidRDefault="00ED133B" w:rsidP="00D9643A">
      <w:pPr>
        <w:pStyle w:val="justify"/>
        <w:spacing w:after="0"/>
        <w:divId w:val="1844585795"/>
      </w:pPr>
      <w:r>
        <w:t xml:space="preserve">2. Разрешено повышать размеры оплаты труда работников обособленного подразделения, имеющего отдельный баланс, при условии соотношения роста производительности труда и номинальной начисленной среднемесячной заработной платы более 1,0 </w:t>
      </w:r>
      <w:r>
        <w:rPr>
          <w:b/>
          <w:bCs/>
        </w:rPr>
        <w:t>в этом обособленном подразделении</w:t>
      </w:r>
      <w:r>
        <w:t xml:space="preserve"> (</w:t>
      </w:r>
      <w:hyperlink r:id="rId7" w:anchor="a17" w:tooltip="+" w:history="1">
        <w:r>
          <w:rPr>
            <w:rStyle w:val="a3"/>
          </w:rPr>
          <w:t>абзац 3</w:t>
        </w:r>
      </w:hyperlink>
      <w:r>
        <w:t xml:space="preserve"> части первой п.1).</w:t>
      </w:r>
    </w:p>
    <w:p w:rsidR="00C87995" w:rsidRDefault="00ED133B" w:rsidP="00D9643A">
      <w:pPr>
        <w:pStyle w:val="justify"/>
        <w:spacing w:after="0"/>
        <w:divId w:val="1844585795"/>
      </w:pPr>
      <w:r>
        <w:t>То есть работники такого подразделения вправе рассчитывать на повышение заработной платы, даже если в целом по организации рост производительности труда недостаточен или отсутствует.</w:t>
      </w:r>
    </w:p>
    <w:p w:rsidR="00C87995" w:rsidRDefault="00ED133B" w:rsidP="00D9643A">
      <w:pPr>
        <w:pStyle w:val="2"/>
        <w:spacing w:before="0" w:after="0"/>
        <w:divId w:val="1844585795"/>
        <w:rPr>
          <w:rFonts w:eastAsia="Times New Roman"/>
        </w:rPr>
      </w:pPr>
      <w:bookmarkStart w:id="3" w:name="a2"/>
      <w:bookmarkEnd w:id="3"/>
      <w:r>
        <w:rPr>
          <w:rFonts w:eastAsia="Times New Roman"/>
        </w:rPr>
        <w:t>Правила изменения показателя расчета производительности труда</w:t>
      </w:r>
    </w:p>
    <w:p w:rsidR="00C87995" w:rsidRDefault="00ED133B" w:rsidP="00D9643A">
      <w:pPr>
        <w:pStyle w:val="justify"/>
        <w:spacing w:after="0"/>
        <w:divId w:val="1844585795"/>
      </w:pPr>
      <w:r>
        <w:t>Еще одно новшество касается правил выбора и изменения показателя расчета производительности труда.</w:t>
      </w:r>
    </w:p>
    <w:p w:rsidR="00C87995" w:rsidRDefault="00ED133B" w:rsidP="00D9643A">
      <w:pPr>
        <w:pStyle w:val="justify"/>
        <w:spacing w:after="0"/>
        <w:divId w:val="1844585795"/>
      </w:pPr>
      <w:r>
        <w:t>Как и ранее, при расчете производительности труда применяется либо выручка от реализации продукции, товаров (работ, услуг), либо добавленная стоимость на одного среднесписочного работника (</w:t>
      </w:r>
      <w:hyperlink r:id="rId8" w:anchor="a18" w:tooltip="+" w:history="1">
        <w:r>
          <w:rPr>
            <w:rStyle w:val="a3"/>
          </w:rPr>
          <w:t>абзац 4</w:t>
        </w:r>
      </w:hyperlink>
      <w:r>
        <w:t xml:space="preserve"> части первой п.1). Тот или иной показатель выбирается государственной организацией на календарный год по согласованию с вышестоящим органом (организацией) (</w:t>
      </w:r>
      <w:hyperlink r:id="rId9" w:anchor="a19" w:tooltip="+" w:history="1">
        <w:r>
          <w:rPr>
            <w:rStyle w:val="a3"/>
          </w:rPr>
          <w:t>часть вторая</w:t>
        </w:r>
      </w:hyperlink>
      <w:r>
        <w:t xml:space="preserve"> п.1).</w:t>
      </w:r>
    </w:p>
    <w:p w:rsidR="00C87995" w:rsidRDefault="00ED133B" w:rsidP="00D9643A">
      <w:pPr>
        <w:pStyle w:val="justify"/>
        <w:spacing w:after="0"/>
        <w:divId w:val="1844585795"/>
      </w:pPr>
      <w:r>
        <w:t xml:space="preserve">При этом, если до 1 марта 2021 г. в течение календарного года был возможен только один вид замены показателей (переход с </w:t>
      </w:r>
      <w:r>
        <w:rPr>
          <w:b/>
          <w:bCs/>
        </w:rPr>
        <w:t>выручки</w:t>
      </w:r>
      <w:r>
        <w:t xml:space="preserve"> от реализации продукции, товаров (работ, услуг) на одного среднесписочного работника </w:t>
      </w:r>
      <w:r>
        <w:rPr>
          <w:b/>
          <w:bCs/>
        </w:rPr>
        <w:t>на добавленную стоимость</w:t>
      </w:r>
      <w:r>
        <w:t xml:space="preserve"> на одного среднесписочного работника), то с 1 марта 2021 г. допускается любая </w:t>
      </w:r>
      <w:r>
        <w:rPr>
          <w:b/>
          <w:bCs/>
        </w:rPr>
        <w:t>однократная</w:t>
      </w:r>
      <w:r>
        <w:t xml:space="preserve"> замена показателей, в том числе переход с </w:t>
      </w:r>
      <w:r>
        <w:rPr>
          <w:b/>
          <w:bCs/>
        </w:rPr>
        <w:t>добавленной стоимости</w:t>
      </w:r>
      <w:r>
        <w:t xml:space="preserve"> на одного среднесписочного работника </w:t>
      </w:r>
      <w:r>
        <w:rPr>
          <w:b/>
          <w:bCs/>
        </w:rPr>
        <w:t>на выручку</w:t>
      </w:r>
      <w:r>
        <w:t xml:space="preserve"> от реализации продукции, товаров (работ, услуг) на одного среднесписочного работника (</w:t>
      </w:r>
      <w:hyperlink r:id="rId10" w:anchor="a20" w:tooltip="+" w:history="1">
        <w:r>
          <w:rPr>
            <w:rStyle w:val="a3"/>
          </w:rPr>
          <w:t>часть третья</w:t>
        </w:r>
      </w:hyperlink>
      <w:r>
        <w:t xml:space="preserve"> п.1).</w:t>
      </w:r>
    </w:p>
    <w:p w:rsidR="00C87995" w:rsidRDefault="00ED133B" w:rsidP="00D9643A">
      <w:pPr>
        <w:pStyle w:val="justify"/>
        <w:spacing w:after="0"/>
        <w:divId w:val="1844585795"/>
      </w:pPr>
      <w:r>
        <w:t>Изменение применяемого показателя по-прежнему согласовывается с вышестоящим органом (организацией).</w:t>
      </w:r>
    </w:p>
    <w:p w:rsidR="00C87995" w:rsidRDefault="00ED133B" w:rsidP="00D9643A">
      <w:pPr>
        <w:pStyle w:val="2"/>
        <w:spacing w:before="0" w:after="0"/>
        <w:divId w:val="1844585795"/>
        <w:rPr>
          <w:rFonts w:eastAsia="Times New Roman"/>
        </w:rPr>
      </w:pPr>
      <w:bookmarkStart w:id="4" w:name="a3"/>
      <w:bookmarkEnd w:id="4"/>
      <w:r>
        <w:rPr>
          <w:rFonts w:eastAsia="Times New Roman"/>
        </w:rPr>
        <w:t xml:space="preserve">Сравнение прежней и новой редакций </w:t>
      </w:r>
      <w:hyperlink r:id="rId11" w:anchor="a15" w:tooltip="+" w:history="1">
        <w:r>
          <w:rPr>
            <w:rStyle w:val="a3"/>
            <w:rFonts w:eastAsia="Times New Roman"/>
          </w:rPr>
          <w:t>п.1</w:t>
        </w:r>
      </w:hyperlink>
      <w:r>
        <w:rPr>
          <w:rFonts w:eastAsia="Times New Roman"/>
        </w:rPr>
        <w:t xml:space="preserve"> постановления № 744</w:t>
      </w:r>
    </w:p>
    <w:p w:rsidR="00C87995" w:rsidRDefault="00ED133B" w:rsidP="00D9643A">
      <w:pPr>
        <w:pStyle w:val="justify"/>
        <w:spacing w:after="0"/>
        <w:divId w:val="1844585795"/>
      </w:pPr>
      <w:r>
        <w:t xml:space="preserve">В сравнительной таблице исключенный текст выделен </w:t>
      </w:r>
      <w:r>
        <w:rPr>
          <w:strike/>
        </w:rPr>
        <w:t>зачеркнутым</w:t>
      </w:r>
      <w:r>
        <w:t xml:space="preserve"> шрифтом, а </w:t>
      </w:r>
      <w:proofErr w:type="gramStart"/>
      <w:r>
        <w:t xml:space="preserve">добавленный  </w:t>
      </w:r>
      <w:r>
        <w:rPr>
          <w:b/>
          <w:bCs/>
        </w:rPr>
        <w:t>жирным</w:t>
      </w:r>
      <w:proofErr w:type="gramEnd"/>
      <w:r>
        <w:t xml:space="preserve"> шрифтом.</w:t>
      </w:r>
    </w:p>
    <w:p w:rsidR="00C87995" w:rsidRDefault="00ED133B" w:rsidP="00D9643A">
      <w:pPr>
        <w:pStyle w:val="podzagtabl"/>
        <w:spacing w:before="0" w:after="0"/>
        <w:divId w:val="1844585795"/>
      </w:pPr>
      <w:r>
        <w:lastRenderedPageBreak/>
        <w:t xml:space="preserve">Сравнение редакций </w:t>
      </w:r>
      <w:hyperlink r:id="rId12" w:anchor="a15" w:tooltip="+" w:history="1">
        <w:r>
          <w:rPr>
            <w:rStyle w:val="a3"/>
          </w:rPr>
          <w:t>п.1</w:t>
        </w:r>
      </w:hyperlink>
      <w:r>
        <w:t xml:space="preserve"> постановления № 744 до 1 мая 2021 г. и с указанной даты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6"/>
        <w:gridCol w:w="4976"/>
      </w:tblGrid>
      <w:tr w:rsidR="00C87995">
        <w:trPr>
          <w:divId w:val="184458579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C87995" w:rsidRDefault="00ED13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До 1 мая 2021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C87995" w:rsidRDefault="00ED13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 1 мая 2021 г.</w:t>
            </w:r>
          </w:p>
        </w:tc>
      </w:tr>
      <w:tr w:rsidR="00C87995">
        <w:trPr>
          <w:divId w:val="184458579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7995" w:rsidRDefault="00ED1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&lt;...&gt;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7995" w:rsidRDefault="00ED1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&lt;...&gt;</w:t>
            </w:r>
          </w:p>
        </w:tc>
      </w:tr>
      <w:tr w:rsidR="00C87995">
        <w:trPr>
          <w:divId w:val="184458579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7995" w:rsidRDefault="00ED1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Установить, что:</w:t>
            </w:r>
            <w:r>
              <w:rPr>
                <w:rFonts w:eastAsia="Times New Roman"/>
              </w:rPr>
              <w:br/>
              <w:t xml:space="preserve">в государственных организациях и организациях, в уставном фонде которых доля собственности государства составляет более 50 процентов, повышение размеров оплаты труда работников </w:t>
            </w:r>
            <w:r>
              <w:rPr>
                <w:rFonts w:eastAsia="Times New Roman"/>
                <w:strike/>
              </w:rPr>
              <w:t>допускается только</w:t>
            </w:r>
            <w:r>
              <w:rPr>
                <w:rFonts w:eastAsia="Times New Roman"/>
              </w:rPr>
              <w:t xml:space="preserve"> при условии соотношения роста производительности труда и заработной платы более 1,0;</w:t>
            </w:r>
            <w:r>
              <w:rPr>
                <w:rFonts w:eastAsia="Times New Roman"/>
              </w:rPr>
              <w:br/>
              <w:t>при </w:t>
            </w:r>
            <w:r>
              <w:rPr>
                <w:rFonts w:eastAsia="Times New Roman"/>
                <w:strike/>
              </w:rPr>
              <w:t>определении</w:t>
            </w:r>
            <w:r>
              <w:rPr>
                <w:rFonts w:eastAsia="Times New Roman"/>
              </w:rPr>
              <w:t xml:space="preserve"> производительности труда в организации применяется выручка от реализации продукции, товаров</w:t>
            </w:r>
            <w:r>
              <w:rPr>
                <w:rFonts w:eastAsia="Times New Roman"/>
                <w:strike/>
              </w:rPr>
              <w:t>,</w:t>
            </w:r>
            <w:r>
              <w:rPr>
                <w:rFonts w:eastAsia="Times New Roman"/>
              </w:rPr>
              <w:t xml:space="preserve"> работ, услуг или добавленная стоимость на одного среднесписочного работника.</w:t>
            </w:r>
            <w:r>
              <w:rPr>
                <w:rFonts w:eastAsia="Times New Roman"/>
              </w:rPr>
              <w:br/>
              <w:t xml:space="preserve">Выбор показателя </w:t>
            </w:r>
            <w:r>
              <w:rPr>
                <w:rFonts w:eastAsia="Times New Roman"/>
                <w:strike/>
              </w:rPr>
              <w:t>определения</w:t>
            </w:r>
            <w:r>
              <w:rPr>
                <w:rFonts w:eastAsia="Times New Roman"/>
              </w:rPr>
              <w:t xml:space="preserve"> производительности труда осуществляется организацией на календарный год по согласованию с вышестоящим органом (организацией).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trike/>
              </w:rPr>
              <w:t>При этом</w:t>
            </w:r>
            <w:r>
              <w:rPr>
                <w:rFonts w:eastAsia="Times New Roman"/>
              </w:rPr>
              <w:t xml:space="preserve"> изменение показателя </w:t>
            </w:r>
            <w:r>
              <w:rPr>
                <w:rFonts w:eastAsia="Times New Roman"/>
                <w:strike/>
              </w:rPr>
              <w:t>определения</w:t>
            </w:r>
            <w:r>
              <w:rPr>
                <w:rFonts w:eastAsia="Times New Roman"/>
              </w:rPr>
              <w:t xml:space="preserve"> производительности труда в течение календарного года допускается по согласованию с вышестоящим органом (организацией) </w:t>
            </w:r>
            <w:r>
              <w:rPr>
                <w:rFonts w:eastAsia="Times New Roman"/>
                <w:strike/>
              </w:rPr>
              <w:t>в случае замены показателя выручки от реализации продукции, товаров, работ, услуг на одного среднесписочного работника на показатель добавленной стоимости на одного среднесписочного работника на этот же календарный год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7995" w:rsidRDefault="00ED1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Установить, что:</w:t>
            </w:r>
            <w:r>
              <w:rPr>
                <w:rFonts w:eastAsia="Times New Roman"/>
              </w:rPr>
              <w:br/>
              <w:t xml:space="preserve">в государственных организациях и организациях, в уставном фонде которых доля собственности государства составляет более 50 процентов </w:t>
            </w:r>
            <w:r>
              <w:rPr>
                <w:rFonts w:eastAsia="Times New Roman"/>
                <w:b/>
                <w:bCs/>
              </w:rPr>
              <w:t>(далее - государственные организации)</w:t>
            </w:r>
            <w:r>
              <w:rPr>
                <w:rFonts w:eastAsia="Times New Roman"/>
              </w:rPr>
              <w:t xml:space="preserve">, повышение размеров оплаты труда работников </w:t>
            </w:r>
            <w:r>
              <w:rPr>
                <w:rFonts w:eastAsia="Times New Roman"/>
                <w:b/>
                <w:bCs/>
              </w:rPr>
              <w:t>производится</w:t>
            </w:r>
            <w:r>
              <w:rPr>
                <w:rFonts w:eastAsia="Times New Roman"/>
              </w:rPr>
              <w:t xml:space="preserve"> при условии соотношения роста производительности труда и </w:t>
            </w:r>
            <w:r>
              <w:rPr>
                <w:rFonts w:eastAsia="Times New Roman"/>
                <w:b/>
                <w:bCs/>
              </w:rPr>
              <w:t>номинальной начисленной среднемесячной</w:t>
            </w:r>
            <w:r>
              <w:rPr>
                <w:rFonts w:eastAsia="Times New Roman"/>
              </w:rPr>
              <w:t xml:space="preserve"> заработной платы более 1,0</w:t>
            </w:r>
            <w:r>
              <w:rPr>
                <w:rFonts w:eastAsia="Times New Roman"/>
                <w:b/>
                <w:bCs/>
              </w:rPr>
              <w:t>. Допускается изменение размеров оплаты труда и (или) структуры заработной платы работникам в пределах общего размера оплаты труда, установленного локальными правовыми актами и трудовыми договорами;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по решению руководителя государственной организации размеры оплаты труда работников обособленного подразделения, имеющего отдельный баланс, могут повышаться при условии соотношения роста производительности труда и номинальной начисленной среднемесячной заработной платы более 1,0 в этом обособленном подразделении</w:t>
            </w:r>
            <w:r>
              <w:rPr>
                <w:rFonts w:eastAsia="Times New Roman"/>
              </w:rPr>
              <w:t>;</w:t>
            </w:r>
            <w:r>
              <w:rPr>
                <w:rFonts w:eastAsia="Times New Roman"/>
              </w:rPr>
              <w:br/>
              <w:t>при </w:t>
            </w:r>
            <w:r>
              <w:rPr>
                <w:rFonts w:eastAsia="Times New Roman"/>
                <w:b/>
                <w:bCs/>
              </w:rPr>
              <w:t>расчете</w:t>
            </w:r>
            <w:r>
              <w:rPr>
                <w:rFonts w:eastAsia="Times New Roman"/>
              </w:rPr>
              <w:t xml:space="preserve"> производительности труда в </w:t>
            </w:r>
            <w:r>
              <w:rPr>
                <w:rFonts w:eastAsia="Times New Roman"/>
                <w:b/>
                <w:bCs/>
              </w:rPr>
              <w:t>государственной</w:t>
            </w:r>
            <w:r>
              <w:rPr>
                <w:rFonts w:eastAsia="Times New Roman"/>
              </w:rPr>
              <w:t xml:space="preserve"> организации применяется выручка от реализации продукции, товаров (работ, услуг) или добавленная стоимость на одного среднесписочного работника.</w:t>
            </w:r>
            <w:r>
              <w:rPr>
                <w:rFonts w:eastAsia="Times New Roman"/>
              </w:rPr>
              <w:br/>
              <w:t xml:space="preserve">Выбор показателя </w:t>
            </w:r>
            <w:r>
              <w:rPr>
                <w:rFonts w:eastAsia="Times New Roman"/>
                <w:b/>
                <w:bCs/>
              </w:rPr>
              <w:t>расчета</w:t>
            </w:r>
            <w:r>
              <w:rPr>
                <w:rFonts w:eastAsia="Times New Roman"/>
              </w:rPr>
              <w:t xml:space="preserve"> производительности труда осуществляется </w:t>
            </w:r>
            <w:r>
              <w:rPr>
                <w:rFonts w:eastAsia="Times New Roman"/>
                <w:b/>
                <w:bCs/>
              </w:rPr>
              <w:t>государственной</w:t>
            </w:r>
            <w:r>
              <w:rPr>
                <w:rFonts w:eastAsia="Times New Roman"/>
              </w:rPr>
              <w:t xml:space="preserve"> организацией на календарный год по согласованию с вышестоящим органом (организацией).</w:t>
            </w:r>
            <w:r>
              <w:rPr>
                <w:rFonts w:eastAsia="Times New Roman"/>
              </w:rPr>
              <w:br/>
              <w:t xml:space="preserve">Допускается </w:t>
            </w:r>
            <w:r>
              <w:rPr>
                <w:rFonts w:eastAsia="Times New Roman"/>
                <w:b/>
                <w:bCs/>
              </w:rPr>
              <w:t>однократное</w:t>
            </w:r>
            <w:r>
              <w:rPr>
                <w:rFonts w:eastAsia="Times New Roman"/>
              </w:rPr>
              <w:t xml:space="preserve"> изменение показателя </w:t>
            </w:r>
            <w:r>
              <w:rPr>
                <w:rFonts w:eastAsia="Times New Roman"/>
                <w:b/>
                <w:bCs/>
              </w:rPr>
              <w:t>расчета</w:t>
            </w:r>
            <w:r>
              <w:rPr>
                <w:rFonts w:eastAsia="Times New Roman"/>
              </w:rPr>
              <w:t xml:space="preserve"> производительности труда в течение календарного года по согласованию с вышестоящим органом (организацией).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В случае создания или реорганизации государственной организации расчет соотношения роста производительности труда и номинальной начисленной среднемесячной заработной платы может производиться исходя из обеспечения сопоставимости </w:t>
            </w:r>
            <w:r>
              <w:rPr>
                <w:rFonts w:eastAsia="Times New Roman"/>
                <w:b/>
                <w:bCs/>
              </w:rPr>
              <w:lastRenderedPageBreak/>
              <w:t>соответствующих показателей и условий деятельности</w:t>
            </w:r>
          </w:p>
        </w:tc>
      </w:tr>
      <w:tr w:rsidR="00C87995">
        <w:trPr>
          <w:divId w:val="184458579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7995" w:rsidRDefault="00ED1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7995" w:rsidRDefault="00ED1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&lt;...&gt;</w:t>
            </w:r>
          </w:p>
        </w:tc>
      </w:tr>
    </w:tbl>
    <w:p w:rsidR="00C87995" w:rsidRDefault="00ED133B" w:rsidP="00D9643A">
      <w:pPr>
        <w:pStyle w:val="margt"/>
        <w:divId w:val="1844585795"/>
      </w:pPr>
      <w:r>
        <w:t> </w:t>
      </w:r>
      <w:r w:rsidR="00D9643A">
        <w:t>Подготовлено по материалам   аналитическо-правовой системы «Бизнес-ИНФО»</w:t>
      </w:r>
    </w:p>
    <w:sectPr w:rsidR="00C87995" w:rsidSect="00D9643A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17"/>
    <w:rsid w:val="004D1D17"/>
    <w:rsid w:val="00765254"/>
    <w:rsid w:val="008A095F"/>
    <w:rsid w:val="00C87995"/>
    <w:rsid w:val="00D9643A"/>
    <w:rsid w:val="00ED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3EB2E-E088-4EB9-9B44-D8314768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dzagtabl">
    <w:name w:val="podzag_tabl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podpis">
    <w:name w:val="podpis"/>
    <w:basedOn w:val="a"/>
    <w:pPr>
      <w:spacing w:line="240" w:lineRule="auto"/>
    </w:pPr>
    <w:rPr>
      <w:rFonts w:ascii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585795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102;&#1076;&#1084;&#1080;&#1083;&#1072;\Downloads\tx.dll%3fd=285606&amp;a=1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1;&#1102;&#1076;&#1084;&#1080;&#1083;&#1072;\Downloads\tx.dll%3fd=285606&amp;a=17" TargetMode="External"/><Relationship Id="rId12" Type="http://schemas.openxmlformats.org/officeDocument/2006/relationships/hyperlink" Target="file:///C:\Users\&#1051;&#1102;&#1076;&#1084;&#1080;&#1083;&#1072;\Downloads\tx.dll%3fd=285606&amp;a=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1;&#1102;&#1076;&#1084;&#1080;&#1083;&#1072;\Downloads\tx.dll%3fd=285606&amp;a=16" TargetMode="External"/><Relationship Id="rId11" Type="http://schemas.openxmlformats.org/officeDocument/2006/relationships/hyperlink" Target="file:///C:\Users\&#1051;&#1102;&#1076;&#1084;&#1080;&#1083;&#1072;\Downloads\tx.dll%3fd=285606&amp;a=15" TargetMode="External"/><Relationship Id="rId5" Type="http://schemas.openxmlformats.org/officeDocument/2006/relationships/hyperlink" Target="file:///C:\Users\&#1051;&#1102;&#1076;&#1084;&#1080;&#1083;&#1072;\Downloads\tx.dll%3fd=285606&amp;a=15" TargetMode="External"/><Relationship Id="rId10" Type="http://schemas.openxmlformats.org/officeDocument/2006/relationships/hyperlink" Target="file:///C:\Users\&#1051;&#1102;&#1076;&#1084;&#1080;&#1083;&#1072;\Downloads\tx.dll%3fd=285606&amp;a=20" TargetMode="External"/><Relationship Id="rId4" Type="http://schemas.openxmlformats.org/officeDocument/2006/relationships/hyperlink" Target="file:///C:\Users\&#1051;&#1102;&#1076;&#1084;&#1080;&#1083;&#1072;\Downloads\tx.dll%3fd=455112&amp;a=1" TargetMode="External"/><Relationship Id="rId9" Type="http://schemas.openxmlformats.org/officeDocument/2006/relationships/hyperlink" Target="file:///C:\Users\&#1051;&#1102;&#1076;&#1084;&#1080;&#1083;&#1072;\Downloads\tx.dll%3fd=285606&amp;a=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2021-05-13T12:02:00Z</dcterms:created>
  <dcterms:modified xsi:type="dcterms:W3CDTF">2021-06-29T08:19:00Z</dcterms:modified>
</cp:coreProperties>
</file>