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474B7" w14:textId="77777777" w:rsidR="00FE7E4C" w:rsidRDefault="00FE7E4C">
      <w:pPr>
        <w:divId w:val="1327199634"/>
      </w:pPr>
      <w:bookmarkStart w:id="0" w:name="_GoBack"/>
      <w:bookmarkEnd w:id="0"/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2650A3" w:rsidRPr="002650A3" w14:paraId="6AE1E76A" w14:textId="77777777" w:rsidTr="002650A3">
        <w:trPr>
          <w:divId w:val="1327199634"/>
          <w:trHeight w:val="175"/>
        </w:trPr>
        <w:tc>
          <w:tcPr>
            <w:tcW w:w="4255" w:type="dxa"/>
          </w:tcPr>
          <w:p w14:paraId="200E31AD" w14:textId="77777777" w:rsidR="00FE7E4C" w:rsidRDefault="00FE7E4C" w:rsidP="00FE7E4C">
            <w:pPr>
              <w:pStyle w:val="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Внесены изменения в  </w:t>
            </w:r>
          </w:p>
          <w:p w14:paraId="5B947F3B" w14:textId="77777777" w:rsidR="002650A3" w:rsidRPr="002650A3" w:rsidRDefault="00FE7E4C" w:rsidP="00FE7E4C">
            <w:pPr>
              <w:pStyle w:val="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Инструкцию по исчислению   среднего заработка</w:t>
            </w:r>
          </w:p>
        </w:tc>
      </w:tr>
    </w:tbl>
    <w:p w14:paraId="7777C218" w14:textId="77777777" w:rsidR="00FE7E4C" w:rsidRPr="00FE7E4C" w:rsidRDefault="002650A3" w:rsidP="00FE7E4C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Управление по труду, занятости и социальной защите Бешенковичского райисполкома сообщает</w:t>
      </w:r>
      <w:r w:rsidR="00065744">
        <w:rPr>
          <w:rFonts w:ascii="Times New Roman" w:hAnsi="Times New Roman" w:cs="Times New Roman"/>
          <w:color w:val="000000"/>
          <w:sz w:val="30"/>
          <w:szCs w:val="30"/>
        </w:rPr>
        <w:t>, что</w:t>
      </w:r>
      <w:r w:rsidR="00FE7E4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E7E4C" w:rsidRPr="00944350">
        <w:rPr>
          <w:sz w:val="30"/>
          <w:szCs w:val="30"/>
        </w:rPr>
        <w:t xml:space="preserve"> с</w:t>
      </w:r>
      <w:r w:rsidR="00FE7E4C">
        <w:rPr>
          <w:sz w:val="30"/>
          <w:szCs w:val="30"/>
        </w:rPr>
        <w:t xml:space="preserve"> 1 января 2023 г.</w:t>
      </w:r>
      <w:r w:rsidR="00FE7E4C" w:rsidRPr="00FE7E4C">
        <w:rPr>
          <w:rFonts w:ascii="Times New Roman" w:hAnsi="Times New Roman" w:cs="Times New Roman"/>
          <w:sz w:val="30"/>
          <w:szCs w:val="30"/>
        </w:rPr>
        <w:t xml:space="preserve"> вступает в силу постановление Министерства труда и социальной защиты Республики Беларусь от 31 октября 2022 г. N 63 ˮОб изменении постановления Министерства труда Республики Беларусь от 10 апреля 2000 г. N 47“.</w:t>
      </w:r>
    </w:p>
    <w:p w14:paraId="485E04D6" w14:textId="77777777" w:rsidR="00FE7E4C" w:rsidRPr="00FE7E4C" w:rsidRDefault="00FE7E4C" w:rsidP="00FE7E4C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sz w:val="30"/>
          <w:szCs w:val="30"/>
        </w:rPr>
      </w:pPr>
      <w:r w:rsidRPr="00FE7E4C">
        <w:rPr>
          <w:rFonts w:ascii="Times New Roman" w:hAnsi="Times New Roman" w:cs="Times New Roman"/>
          <w:sz w:val="30"/>
          <w:szCs w:val="30"/>
        </w:rPr>
        <w:t>Вышеназванным постановлением в Инструкцию о порядке исчисления среднего заработка, утвержденную постановлением Министерства труда Республики Беларусь от 10.04.2000 № 47 (далее – Инструкция) вносятся следующие изменения.</w:t>
      </w:r>
    </w:p>
    <w:p w14:paraId="59EC51CB" w14:textId="77777777" w:rsidR="00FE7E4C" w:rsidRPr="00FE7E4C" w:rsidRDefault="00FE7E4C" w:rsidP="00FE7E4C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FE7E4C">
        <w:rPr>
          <w:rFonts w:ascii="Times New Roman" w:hAnsi="Times New Roman" w:cs="Times New Roman"/>
          <w:bCs/>
          <w:sz w:val="30"/>
          <w:szCs w:val="30"/>
        </w:rPr>
        <w:t xml:space="preserve">В пункте 15 и абзаце втором части первой пункта 24 Инструкции </w:t>
      </w:r>
      <w:r w:rsidRPr="00FE7E4C">
        <w:rPr>
          <w:rFonts w:ascii="Times New Roman" w:hAnsi="Times New Roman" w:cs="Times New Roman"/>
          <w:bCs/>
          <w:sz w:val="30"/>
          <w:szCs w:val="30"/>
          <w:u w:val="single"/>
        </w:rPr>
        <w:t>обобщены наименования</w:t>
      </w:r>
      <w:r w:rsidRPr="00FE7E4C">
        <w:rPr>
          <w:rFonts w:ascii="Times New Roman" w:hAnsi="Times New Roman" w:cs="Times New Roman"/>
          <w:bCs/>
          <w:sz w:val="30"/>
          <w:szCs w:val="30"/>
        </w:rPr>
        <w:t xml:space="preserve"> структурных элементов заработной платы </w:t>
      </w:r>
      <w:r w:rsidRPr="00FE7E4C">
        <w:rPr>
          <w:rFonts w:ascii="Times New Roman" w:hAnsi="Times New Roman" w:cs="Times New Roman"/>
          <w:bCs/>
          <w:sz w:val="30"/>
          <w:szCs w:val="30"/>
          <w:u w:val="single"/>
        </w:rPr>
        <w:t>без изменения порядка исчисления среднего заработка.</w:t>
      </w:r>
    </w:p>
    <w:p w14:paraId="5A0AC098" w14:textId="77777777" w:rsidR="00FE7E4C" w:rsidRPr="00FE7E4C" w:rsidRDefault="00FE7E4C" w:rsidP="00FE7E4C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bCs/>
          <w:sz w:val="30"/>
          <w:szCs w:val="30"/>
        </w:rPr>
      </w:pPr>
      <w:r w:rsidRPr="00FE7E4C">
        <w:rPr>
          <w:rFonts w:ascii="Times New Roman" w:hAnsi="Times New Roman" w:cs="Times New Roman"/>
          <w:bCs/>
          <w:sz w:val="30"/>
          <w:szCs w:val="30"/>
        </w:rPr>
        <w:t>Надбавки за предшествующий месяц, ежемесячные (квартальные, полугодовые) премии, краткосрочные бонусы, вознаграждения, в том числе по итогам работы за год, за выслугу лет, и иные подобные выплаты, начисляемые за предшествующие отчетные периоды, включаются в расчет среднего заработка, сохраняемого за время отпуска, и расчета компенсации в том месяце, в котором они прошли по лицевому счету.</w:t>
      </w:r>
      <w:r w:rsidRPr="00FE7E4C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Новшеством является только то, что названные выплаты обобщены в ˮв</w:t>
      </w:r>
      <w:r w:rsidRPr="00FE7E4C">
        <w:rPr>
          <w:rFonts w:ascii="Times New Roman" w:hAnsi="Times New Roman" w:cs="Times New Roman"/>
          <w:bCs/>
          <w:sz w:val="30"/>
          <w:szCs w:val="30"/>
        </w:rPr>
        <w:t>ыплаты, обусловленные системами оплаты труда и начисляемые за предшествующие отчетные периоды“.</w:t>
      </w:r>
    </w:p>
    <w:p w14:paraId="698B7DFA" w14:textId="77777777" w:rsidR="00FE7E4C" w:rsidRPr="00FE7E4C" w:rsidRDefault="00FE7E4C" w:rsidP="00FE7E4C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bCs/>
          <w:sz w:val="30"/>
          <w:szCs w:val="30"/>
        </w:rPr>
      </w:pPr>
      <w:r w:rsidRPr="00FE7E4C">
        <w:rPr>
          <w:rFonts w:ascii="Times New Roman" w:hAnsi="Times New Roman" w:cs="Times New Roman"/>
          <w:bCs/>
          <w:sz w:val="30"/>
          <w:szCs w:val="30"/>
        </w:rPr>
        <w:t>Аналогичный подход обобщения применен в пункте 24 Инструкции:</w:t>
      </w:r>
      <w:bookmarkStart w:id="1" w:name="28"/>
      <w:bookmarkEnd w:id="1"/>
      <w:r w:rsidRPr="00FE7E4C">
        <w:rPr>
          <w:rFonts w:ascii="Times New Roman" w:hAnsi="Times New Roman" w:cs="Times New Roman"/>
          <w:bCs/>
          <w:sz w:val="30"/>
          <w:szCs w:val="30"/>
        </w:rPr>
        <w:t xml:space="preserve"> ˮежемесячные премии, авторские (постановочные) вознаграждения, обусловленные системами оплаты труда, действующими у нанимателя, единовременные премии“ заменены на слова ˮежемесячные (единовременные) выплаты (премии, вознаграждения и другие), обусловленные системами оплаты труда“.</w:t>
      </w:r>
    </w:p>
    <w:p w14:paraId="276CDC34" w14:textId="77777777" w:rsidR="00FE7E4C" w:rsidRPr="00FE7E4C" w:rsidRDefault="00FE7E4C" w:rsidP="00FE7E4C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FE7E4C">
        <w:rPr>
          <w:rFonts w:ascii="Times New Roman" w:hAnsi="Times New Roman" w:cs="Times New Roman"/>
          <w:bCs/>
          <w:sz w:val="30"/>
          <w:szCs w:val="30"/>
          <w:u w:val="single"/>
        </w:rPr>
        <w:t>Пункт 32 Инструкции изложен в новой редакции.</w:t>
      </w:r>
    </w:p>
    <w:p w14:paraId="16487E73" w14:textId="77777777" w:rsidR="00FE7E4C" w:rsidRPr="00FE7E4C" w:rsidRDefault="00FE7E4C" w:rsidP="00FE7E4C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bCs/>
          <w:sz w:val="30"/>
          <w:szCs w:val="30"/>
        </w:rPr>
      </w:pPr>
      <w:bookmarkStart w:id="2" w:name="32"/>
      <w:bookmarkEnd w:id="2"/>
      <w:r w:rsidRPr="00FE7E4C">
        <w:rPr>
          <w:rFonts w:ascii="Times New Roman" w:hAnsi="Times New Roman" w:cs="Times New Roman"/>
          <w:bCs/>
          <w:sz w:val="30"/>
          <w:szCs w:val="30"/>
        </w:rPr>
        <w:t>Конкретизируется, что при установленной сумме ущерба для определения порядка его возмещения (судебном либо нанимателем) применяется поправочный коэффициент.</w:t>
      </w:r>
    </w:p>
    <w:p w14:paraId="7627C728" w14:textId="77777777" w:rsidR="00FE7E4C" w:rsidRPr="00FE7E4C" w:rsidRDefault="00FE7E4C" w:rsidP="00FE7E4C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bCs/>
          <w:i/>
          <w:iCs/>
          <w:sz w:val="30"/>
          <w:szCs w:val="30"/>
        </w:rPr>
      </w:pPr>
      <w:bookmarkStart w:id="3" w:name="51"/>
      <w:bookmarkStart w:id="4" w:name="34"/>
      <w:bookmarkEnd w:id="3"/>
      <w:bookmarkEnd w:id="4"/>
      <w:r w:rsidRPr="00FE7E4C">
        <w:rPr>
          <w:rFonts w:ascii="Times New Roman" w:hAnsi="Times New Roman" w:cs="Times New Roman"/>
          <w:bCs/>
          <w:i/>
          <w:iCs/>
          <w:sz w:val="30"/>
          <w:szCs w:val="30"/>
        </w:rPr>
        <w:t>Справочно:</w:t>
      </w:r>
      <w:bookmarkStart w:id="5" w:name="36"/>
      <w:bookmarkEnd w:id="5"/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FE7E4C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Возмещение ущерба работником в размере до трех его среднемесячных заработков производится по распоряжению нанимателя </w:t>
      </w:r>
      <w:r w:rsidRPr="00FE7E4C">
        <w:rPr>
          <w:rFonts w:ascii="Times New Roman" w:hAnsi="Times New Roman" w:cs="Times New Roman"/>
          <w:bCs/>
          <w:i/>
          <w:iCs/>
          <w:sz w:val="30"/>
          <w:szCs w:val="30"/>
        </w:rPr>
        <w:lastRenderedPageBreak/>
        <w:t>путем удержания из заработной платы работника (статья 408 Трудового кодекса). Возмещение ущерба работником свыше трех его среднемесячных заработков производится в судебном порядке.</w:t>
      </w:r>
    </w:p>
    <w:p w14:paraId="6F105160" w14:textId="77777777" w:rsidR="00FE7E4C" w:rsidRPr="00FE7E4C" w:rsidRDefault="00FE7E4C" w:rsidP="00FE7E4C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bCs/>
          <w:sz w:val="30"/>
          <w:szCs w:val="30"/>
        </w:rPr>
      </w:pPr>
      <w:r w:rsidRPr="00FE7E4C">
        <w:rPr>
          <w:rFonts w:ascii="Times New Roman" w:hAnsi="Times New Roman" w:cs="Times New Roman"/>
          <w:b/>
          <w:bCs/>
          <w:sz w:val="30"/>
          <w:szCs w:val="30"/>
        </w:rPr>
        <w:t>Главным изменением в Инструкции является уменьшение среднемесячного количества календарных дней,</w:t>
      </w:r>
      <w:r w:rsidRPr="00FE7E4C">
        <w:rPr>
          <w:rFonts w:ascii="Times New Roman" w:hAnsi="Times New Roman" w:cs="Times New Roman"/>
          <w:bCs/>
          <w:sz w:val="30"/>
          <w:szCs w:val="30"/>
        </w:rPr>
        <w:t xml:space="preserve"> используемого при расчете отпускных и компенсации за неиспользованный отпуск, </w:t>
      </w:r>
      <w:r w:rsidRPr="00FE7E4C">
        <w:rPr>
          <w:rFonts w:ascii="Times New Roman" w:hAnsi="Times New Roman" w:cs="Times New Roman"/>
          <w:b/>
          <w:bCs/>
          <w:sz w:val="30"/>
          <w:szCs w:val="30"/>
          <w:u w:val="single"/>
        </w:rPr>
        <w:t>с 29,7 до 29,6</w:t>
      </w:r>
      <w:r w:rsidRPr="00FE7E4C">
        <w:rPr>
          <w:rFonts w:ascii="Times New Roman" w:hAnsi="Times New Roman" w:cs="Times New Roman"/>
          <w:bCs/>
          <w:sz w:val="30"/>
          <w:szCs w:val="30"/>
        </w:rPr>
        <w:t xml:space="preserve"> (п. 6, п. 10, п. 12 Инструкции). Эта величина является постоянной и применяется при расчете среднедневного заработка вне зависимости от того, в каком году производится такой расчет.</w:t>
      </w:r>
    </w:p>
    <w:p w14:paraId="600EB5DA" w14:textId="77777777" w:rsidR="00FE7E4C" w:rsidRPr="00FE7E4C" w:rsidRDefault="00FE7E4C" w:rsidP="00FE7E4C">
      <w:pPr>
        <w:spacing w:after="0" w:line="240" w:lineRule="auto"/>
        <w:ind w:firstLine="709"/>
        <w:jc w:val="both"/>
        <w:divId w:val="1327199634"/>
        <w:rPr>
          <w:rFonts w:ascii="Times New Roman" w:hAnsi="Times New Roman" w:cs="Times New Roman"/>
          <w:bCs/>
          <w:sz w:val="30"/>
          <w:szCs w:val="30"/>
        </w:rPr>
      </w:pPr>
      <w:r w:rsidRPr="00FE7E4C">
        <w:rPr>
          <w:rFonts w:ascii="Times New Roman" w:hAnsi="Times New Roman" w:cs="Times New Roman"/>
          <w:bCs/>
          <w:sz w:val="30"/>
          <w:szCs w:val="30"/>
        </w:rPr>
        <w:t>Разъясняем, что данные нормы действуют с 2023 года, соответственно производя расчет отпускных в декабре 2022 г. (например, для исчисления среднего заработка, сохраняемого на время отпуска работника с 3 января 2023 г.) необходимо применять действующие на момент расчета нормы законодательства. Таким образом, производя расчет в декабре 2022 г., используем среднемесячное количество календарных дней равное 29,7. Все расчеты, производимые после 1 января 2023 г., производятся с использованием среднемесячного количества календарных дней равного 29,6.</w:t>
      </w:r>
    </w:p>
    <w:p w14:paraId="2F634E47" w14:textId="77777777" w:rsidR="00FE7E4C" w:rsidRPr="005B1E6B" w:rsidRDefault="00FE7E4C" w:rsidP="00FE7E4C">
      <w:pPr>
        <w:spacing w:after="0" w:line="240" w:lineRule="auto"/>
        <w:ind w:firstLine="709"/>
        <w:jc w:val="both"/>
        <w:divId w:val="1327199634"/>
        <w:rPr>
          <w:sz w:val="30"/>
          <w:szCs w:val="30"/>
        </w:rPr>
      </w:pPr>
      <w:bookmarkStart w:id="6" w:name="18"/>
      <w:bookmarkEnd w:id="6"/>
    </w:p>
    <w:p w14:paraId="0FBECAB8" w14:textId="77777777" w:rsidR="002650A3" w:rsidRDefault="002650A3" w:rsidP="00FE7E4C">
      <w:pPr>
        <w:spacing w:after="0" w:line="240" w:lineRule="auto"/>
        <w:divId w:val="1327199634"/>
        <w:rPr>
          <w:sz w:val="18"/>
        </w:rPr>
      </w:pPr>
    </w:p>
    <w:p w14:paraId="2573AEEA" w14:textId="77777777" w:rsidR="00225240" w:rsidRPr="00235756" w:rsidRDefault="00225240" w:rsidP="00225240">
      <w:pPr>
        <w:pStyle w:val="a0-text"/>
        <w:spacing w:after="0"/>
        <w:ind w:firstLine="0"/>
        <w:divId w:val="531190814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                                                   </w:t>
      </w:r>
      <w:proofErr w:type="gramStart"/>
      <w:r>
        <w:rPr>
          <w:sz w:val="30"/>
          <w:szCs w:val="30"/>
        </w:rPr>
        <w:t>Михайлова  Л.А.</w:t>
      </w:r>
      <w:proofErr w:type="gramEnd"/>
    </w:p>
    <w:sectPr w:rsidR="00225240" w:rsidRPr="00235756" w:rsidSect="00225240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96"/>
    <w:rsid w:val="00065744"/>
    <w:rsid w:val="000C0A51"/>
    <w:rsid w:val="001E2510"/>
    <w:rsid w:val="00225240"/>
    <w:rsid w:val="00235756"/>
    <w:rsid w:val="002650A3"/>
    <w:rsid w:val="008F7796"/>
    <w:rsid w:val="00E51985"/>
    <w:rsid w:val="00E94E2A"/>
    <w:rsid w:val="00E96FEF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A5A3"/>
  <w15:docId w15:val="{12481762-CC49-472D-991A-BE8200BE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50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5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3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5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6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2650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23606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2021-11-15T06:59:00Z</cp:lastPrinted>
  <dcterms:created xsi:type="dcterms:W3CDTF">2022-12-15T13:32:00Z</dcterms:created>
  <dcterms:modified xsi:type="dcterms:W3CDTF">2022-12-15T13:32:00Z</dcterms:modified>
</cp:coreProperties>
</file>