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A130" w14:textId="77777777" w:rsidR="00AC2C64" w:rsidRDefault="00AC2C6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6D5492B0" w14:textId="77777777" w:rsidR="00AC2C64" w:rsidRDefault="00AC2C64">
      <w:pPr>
        <w:pStyle w:val="newncpi"/>
        <w:ind w:firstLine="0"/>
        <w:jc w:val="center"/>
      </w:pPr>
      <w:r>
        <w:rPr>
          <w:rStyle w:val="datepr"/>
        </w:rPr>
        <w:t>30 декабря 2015 г.</w:t>
      </w:r>
      <w:r>
        <w:rPr>
          <w:rStyle w:val="number"/>
        </w:rPr>
        <w:t xml:space="preserve"> № 75</w:t>
      </w:r>
    </w:p>
    <w:p w14:paraId="608C6B7D" w14:textId="77777777" w:rsidR="00AC2C64" w:rsidRDefault="00AC2C64">
      <w:pPr>
        <w:pStyle w:val="titlencpi"/>
      </w:pPr>
      <w:r>
        <w:t>Об установлении на территории Бешенковичского района местных налога и сборов и введении их в действие</w:t>
      </w:r>
    </w:p>
    <w:p w14:paraId="06047680" w14:textId="77777777" w:rsidR="00AC2C64" w:rsidRDefault="00AC2C64">
      <w:pPr>
        <w:pStyle w:val="changei"/>
      </w:pPr>
      <w:r>
        <w:t>Изменения и дополнения:</w:t>
      </w:r>
    </w:p>
    <w:p w14:paraId="7442C90A" w14:textId="77777777" w:rsidR="00AC2C64" w:rsidRDefault="00AC2C64">
      <w:pPr>
        <w:pStyle w:val="changeadd"/>
      </w:pPr>
      <w:r>
        <w:t>Решение Бешенковичского районного Совета депутатов от 12 декабря 2016 г. № 114 (Национальный правовой Интернет-портал Республики Беларусь, 22.01.2017, 9/80736) &lt;D917v0080736&gt;;</w:t>
      </w:r>
    </w:p>
    <w:p w14:paraId="41277BD8" w14:textId="77777777" w:rsidR="00AC2C64" w:rsidRDefault="00AC2C64">
      <w:pPr>
        <w:pStyle w:val="changeadd"/>
      </w:pPr>
      <w:r>
        <w:t>Решение Бешенковичского районного Совета депутатов от 29 марта 2019 г. № 42 (Национальный правовой Интернет-портал Республики Беларусь, 04.05.2019, 9/95476) &lt;D919v0095476&gt;;</w:t>
      </w:r>
    </w:p>
    <w:p w14:paraId="22C6E703" w14:textId="77777777" w:rsidR="00AC2C64" w:rsidRDefault="00AC2C64">
      <w:pPr>
        <w:pStyle w:val="changeadd"/>
      </w:pPr>
      <w:r>
        <w:t>Решение Бешенковичского районного Совета депутатов от 7 декабря 2020 г. № 99 (Национальный правовой Интернет-портал Республики Беларусь, 24.12.2020, 9/105799) &lt;D920v0105799&gt;;</w:t>
      </w:r>
    </w:p>
    <w:p w14:paraId="439913E3" w14:textId="77777777" w:rsidR="00AC2C64" w:rsidRDefault="00AC2C64">
      <w:pPr>
        <w:pStyle w:val="changeadd"/>
      </w:pPr>
      <w:r>
        <w:t>Решение Бешенковичского районного Совета депутатов от 26 января 2022 г. № 151 (Национальный правовой Интернет-портал Республики Беларусь, 10.02.2022, 9/113677) &lt;D922v0113677&gt;;</w:t>
      </w:r>
    </w:p>
    <w:p w14:paraId="629CD556" w14:textId="77777777" w:rsidR="00AC2C64" w:rsidRDefault="00AC2C64">
      <w:pPr>
        <w:pStyle w:val="changeadd"/>
      </w:pPr>
      <w:r>
        <w:t>Решение Бешенковичского районного Совета депутатов от 27 января 2023 г. № 192 (Национальный правовой Интернет-портал Республики Беларусь, 10.02.2023, 9/121367) &lt;D923v0121367&gt;;</w:t>
      </w:r>
    </w:p>
    <w:p w14:paraId="35B13755" w14:textId="77777777" w:rsidR="00AC2C64" w:rsidRDefault="00AC2C64">
      <w:pPr>
        <w:pStyle w:val="changeadd"/>
      </w:pPr>
      <w:r>
        <w:t>Решение Бешенковичского районного Совета депутатов от 30 января 2025 г. № 41 (Национальный правовой Интернет-портал Республики Беларусь, 25.02.2025, 9/137671) &lt;D925v0137671&gt;</w:t>
      </w:r>
    </w:p>
    <w:p w14:paraId="6AA491B7" w14:textId="77777777" w:rsidR="00AC2C64" w:rsidRDefault="00AC2C64">
      <w:pPr>
        <w:pStyle w:val="newncpi"/>
      </w:pPr>
      <w:r>
        <w:t> </w:t>
      </w:r>
    </w:p>
    <w:p w14:paraId="46771184" w14:textId="77777777" w:rsidR="00AC2C64" w:rsidRDefault="00AC2C64">
      <w:pPr>
        <w:pStyle w:val="preamble"/>
      </w:pPr>
      <w:r>
        <w:t>На основании пункта 2 статьи 12 Налогового кодекса Республики Беларусь Бешенковичский районный Совет депутатов РЕШИЛ:</w:t>
      </w:r>
    </w:p>
    <w:p w14:paraId="60E7CE57" w14:textId="77777777" w:rsidR="00AC2C64" w:rsidRDefault="00AC2C64">
      <w:pPr>
        <w:pStyle w:val="point"/>
      </w:pPr>
      <w:r>
        <w:t>1. Установить и ввести в действие на территории Бешенковичского района налог за владение собаками, сбор с заготовителей, курортный сбор.</w:t>
      </w:r>
    </w:p>
    <w:p w14:paraId="37E3D432" w14:textId="77777777" w:rsidR="00AC2C64" w:rsidRDefault="00AC2C64">
      <w:pPr>
        <w:pStyle w:val="point"/>
      </w:pPr>
      <w:r>
        <w:t>2. Утвердить:</w:t>
      </w:r>
    </w:p>
    <w:p w14:paraId="3A504DEB" w14:textId="77777777" w:rsidR="00AC2C64" w:rsidRDefault="00AC2C64">
      <w:pPr>
        <w:pStyle w:val="newncpi"/>
      </w:pPr>
      <w:r>
        <w:t>Инструкцию о налоге за владение собаками (прилагается);</w:t>
      </w:r>
    </w:p>
    <w:p w14:paraId="35C9FC59" w14:textId="77777777" w:rsidR="00AC2C64" w:rsidRDefault="00AC2C64">
      <w:pPr>
        <w:pStyle w:val="newncpi"/>
      </w:pPr>
      <w:r>
        <w:t>Инструкцию о сборе с заготовителей (прилагается);</w:t>
      </w:r>
    </w:p>
    <w:p w14:paraId="20E2C337" w14:textId="77777777" w:rsidR="00AC2C64" w:rsidRDefault="00AC2C64">
      <w:pPr>
        <w:pStyle w:val="newncpi"/>
      </w:pPr>
      <w:r>
        <w:t>Инструкцию о курортном сборе (прилагается).</w:t>
      </w:r>
    </w:p>
    <w:p w14:paraId="3667E980" w14:textId="77777777" w:rsidR="00AC2C64" w:rsidRDefault="00AC2C64">
      <w:pPr>
        <w:pStyle w:val="point"/>
      </w:pPr>
      <w:r>
        <w:t>3. Обнародовать (опубликовать) настоящее решение в газете «Зара».</w:t>
      </w:r>
    </w:p>
    <w:p w14:paraId="4B75A925" w14:textId="77777777" w:rsidR="00AC2C64" w:rsidRDefault="00AC2C64">
      <w:pPr>
        <w:pStyle w:val="point"/>
      </w:pPr>
      <w:r>
        <w:t>4. Настоящее решение вступает в силу после его официального опубликования и распространяет свое действие на отношения, возникшие с 1 января 2016 г.</w:t>
      </w:r>
    </w:p>
    <w:p w14:paraId="7BE6BB84" w14:textId="77777777" w:rsidR="00AC2C64" w:rsidRDefault="00AC2C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845"/>
        <w:gridCol w:w="2835"/>
      </w:tblGrid>
      <w:tr w:rsidR="00AC2C64" w14:paraId="1F5896EF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4B74E" w14:textId="77777777" w:rsidR="00AC2C64" w:rsidRDefault="00AC2C6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90B04" w14:textId="77777777" w:rsidR="00AC2C64" w:rsidRDefault="00AC2C6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  <w:tr w:rsidR="00AC2C64" w14:paraId="31AC0EF1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945B5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5EE8C094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488267A6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39A8533E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8E42F9" w14:textId="77777777" w:rsidR="00AC2C64" w:rsidRDefault="00AC2C64">
            <w:pPr>
              <w:pStyle w:val="newncpi0"/>
              <w:jc w:val="right"/>
              <w:rPr>
                <w:rStyle w:val="pers"/>
              </w:rPr>
            </w:pPr>
          </w:p>
        </w:tc>
      </w:tr>
      <w:tr w:rsidR="00AC2C64" w14:paraId="2C194E23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F05AD8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7D55C00A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0AE38326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6DA441BF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7F772288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5322AC6A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6ABEAA7A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019D5CCA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6FD9A02E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3F030C1A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1B3A6083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  <w:p w14:paraId="07B08A9D" w14:textId="77777777" w:rsidR="00AC2C64" w:rsidRDefault="00AC2C64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A448B0" w14:textId="77777777" w:rsidR="00AC2C64" w:rsidRDefault="00AC2C64">
            <w:pPr>
              <w:pStyle w:val="newncpi0"/>
              <w:jc w:val="right"/>
              <w:rPr>
                <w:rStyle w:val="pers"/>
              </w:rPr>
            </w:pPr>
          </w:p>
          <w:p w14:paraId="2E4EC434" w14:textId="77777777" w:rsidR="00AC2C64" w:rsidRDefault="00AC2C64">
            <w:pPr>
              <w:pStyle w:val="newncpi0"/>
              <w:jc w:val="right"/>
              <w:rPr>
                <w:rStyle w:val="pers"/>
              </w:rPr>
            </w:pPr>
          </w:p>
          <w:p w14:paraId="3F24FFC6" w14:textId="77777777" w:rsidR="00AC2C64" w:rsidRDefault="00AC2C64">
            <w:pPr>
              <w:pStyle w:val="newncpi0"/>
              <w:jc w:val="right"/>
              <w:rPr>
                <w:rStyle w:val="pers"/>
              </w:rPr>
            </w:pPr>
          </w:p>
          <w:p w14:paraId="1AC253E6" w14:textId="77777777" w:rsidR="00AC2C64" w:rsidRDefault="00AC2C64">
            <w:pPr>
              <w:pStyle w:val="newncpi0"/>
              <w:jc w:val="right"/>
              <w:rPr>
                <w:rStyle w:val="pers"/>
              </w:rPr>
            </w:pPr>
          </w:p>
        </w:tc>
      </w:tr>
      <w:tr w:rsidR="00AC2C64" w14:paraId="0DE64AA0" w14:textId="77777777">
        <w:tc>
          <w:tcPr>
            <w:tcW w:w="34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CED4C" w14:textId="21794B27" w:rsidR="00AC2C64" w:rsidRDefault="00AC2C64">
            <w:pPr>
              <w:pStyle w:val="cap1"/>
            </w:pPr>
            <w:r>
              <w:lastRenderedPageBreak/>
              <w:t> 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84239" w14:textId="77777777" w:rsidR="00AC2C64" w:rsidRDefault="00AC2C64">
            <w:pPr>
              <w:pStyle w:val="capu1"/>
            </w:pPr>
            <w:r>
              <w:t>УТВЕРЖДЕНО</w:t>
            </w:r>
          </w:p>
          <w:p w14:paraId="6DA12E5D" w14:textId="77777777" w:rsidR="00AC2C64" w:rsidRDefault="00AC2C64">
            <w:pPr>
              <w:pStyle w:val="cap1"/>
            </w:pPr>
            <w:r>
              <w:t>Решение</w:t>
            </w:r>
          </w:p>
          <w:p w14:paraId="5B7CA5B0" w14:textId="77777777" w:rsidR="00AC2C64" w:rsidRDefault="00AC2C64">
            <w:pPr>
              <w:pStyle w:val="cap1"/>
            </w:pPr>
            <w:r>
              <w:t>Бешенковичского районного</w:t>
            </w:r>
          </w:p>
          <w:p w14:paraId="57ED2D2C" w14:textId="77777777" w:rsidR="00AC2C64" w:rsidRDefault="00AC2C64">
            <w:pPr>
              <w:pStyle w:val="cap1"/>
            </w:pPr>
            <w:r>
              <w:t>Совета депутатов</w:t>
            </w:r>
          </w:p>
          <w:p w14:paraId="40EAE1D4" w14:textId="77777777" w:rsidR="00AC2C64" w:rsidRDefault="00AC2C64">
            <w:pPr>
              <w:pStyle w:val="cap1"/>
            </w:pPr>
            <w:r>
              <w:t>30.12.2015 № 75</w:t>
            </w:r>
          </w:p>
        </w:tc>
      </w:tr>
    </w:tbl>
    <w:p w14:paraId="56C98FF9" w14:textId="77777777" w:rsidR="00AC2C64" w:rsidRDefault="00AC2C64">
      <w:pPr>
        <w:pStyle w:val="titleu"/>
      </w:pPr>
      <w:r>
        <w:t>ИНСТРУКЦИЯ</w:t>
      </w:r>
      <w:r>
        <w:br/>
        <w:t>о налоге за владение собаками</w:t>
      </w:r>
    </w:p>
    <w:p w14:paraId="0DA537F9" w14:textId="77777777" w:rsidR="00AC2C64" w:rsidRDefault="00AC2C64">
      <w:pPr>
        <w:pStyle w:val="point"/>
      </w:pPr>
      <w:r>
        <w:t>1. Инструкция о налоге за владение собаками разработана в соответствии с Налоговым кодексом Республики Беларусь и определяет порядок исчисления и уплаты налога за владение собаками.</w:t>
      </w:r>
    </w:p>
    <w:p w14:paraId="1661103E" w14:textId="77777777" w:rsidR="00AC2C64" w:rsidRDefault="00AC2C64">
      <w:pPr>
        <w:pStyle w:val="point"/>
      </w:pPr>
      <w:r>
        <w:t>2. Плательщиками налога за владение собаками (далее – плательщики) признаются физические лица – владельцы собак, зарегистрированные на территории Бешенковичского района.</w:t>
      </w:r>
    </w:p>
    <w:p w14:paraId="24B8EAA0" w14:textId="77777777" w:rsidR="00AC2C64" w:rsidRDefault="00AC2C64">
      <w:pPr>
        <w:pStyle w:val="point"/>
      </w:pPr>
      <w:r>
        <w:t>3. Объектом обложения налогом за владение собаками признается владение собаками в возрасте 3 месяцев и старше.</w:t>
      </w:r>
    </w:p>
    <w:p w14:paraId="650DB644" w14:textId="77777777" w:rsidR="00AC2C64" w:rsidRDefault="00AC2C64">
      <w:pPr>
        <w:pStyle w:val="point"/>
      </w:pPr>
      <w:r>
        <w:t>4. Налоговая база налога за владение собаками определяется как количество собак в возрасте 3 месяцев и старше на 1-е число первого месяца налогового периода.</w:t>
      </w:r>
    </w:p>
    <w:p w14:paraId="5A164D1B" w14:textId="77777777" w:rsidR="00AC2C64" w:rsidRDefault="00AC2C64">
      <w:pPr>
        <w:pStyle w:val="point"/>
      </w:pPr>
      <w:r>
        <w:t>5. Ставка налога за владение собаками устанавливается за налоговый период в размере, установленном абзацами вторым и третьим пункта 1 статьи 310 Налогового кодекса Республики Беларусь.</w:t>
      </w:r>
    </w:p>
    <w:p w14:paraId="2498EF0F" w14:textId="77777777" w:rsidR="00AC2C64" w:rsidRDefault="00AC2C64">
      <w:pPr>
        <w:pStyle w:val="point"/>
      </w:pPr>
      <w:r>
        <w:t>6. Налоговым периодом налога за владение собаками признается календарный квартал.</w:t>
      </w:r>
    </w:p>
    <w:p w14:paraId="1A17DBA8" w14:textId="77777777" w:rsidR="00AC2C64" w:rsidRDefault="00AC2C64">
      <w:pPr>
        <w:pStyle w:val="point"/>
      </w:pPr>
      <w:r>
        <w:t>7. Сумма налога за владение собаками исчисляется как произведение налоговой базы и налоговой ставки.</w:t>
      </w:r>
    </w:p>
    <w:p w14:paraId="20528144" w14:textId="77777777" w:rsidR="00AC2C64" w:rsidRDefault="00AC2C64">
      <w:pPr>
        <w:pStyle w:val="point"/>
      </w:pPr>
      <w:r>
        <w:t>8. 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14:paraId="1835E140" w14:textId="77777777" w:rsidR="00AC2C64" w:rsidRDefault="00AC2C64">
      <w:pPr>
        <w:pStyle w:val="newncpi"/>
      </w:pPr>
      <w:r>
        <w:t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 за истекшим налоговым периодом.</w:t>
      </w:r>
    </w:p>
    <w:p w14:paraId="660F1C08" w14:textId="77777777" w:rsidR="00AC2C64" w:rsidRDefault="00AC2C64">
      <w:pPr>
        <w:pStyle w:val="newncpi"/>
      </w:pPr>
      <w:r>
        <w:t>Налоговая декларация (расчет) по налогу за владение собаками не представляется.</w:t>
      </w:r>
    </w:p>
    <w:p w14:paraId="2E5ABE16" w14:textId="77777777" w:rsidR="00AC2C64" w:rsidRDefault="00AC2C64">
      <w:pPr>
        <w:pStyle w:val="newncpi"/>
      </w:pPr>
    </w:p>
    <w:p w14:paraId="4C2D4366" w14:textId="77777777" w:rsidR="00AC2C64" w:rsidRPr="00AC2C64" w:rsidRDefault="00AC2C64">
      <w:pPr>
        <w:pStyle w:val="newncpi"/>
        <w:rPr>
          <w:b/>
          <w:bCs/>
        </w:rPr>
      </w:pPr>
      <w:r w:rsidRPr="00AC2C64">
        <w:rPr>
          <w:b/>
          <w:bCs/>
        </w:rPr>
        <w:t>СПРАВОЧНО:</w:t>
      </w:r>
    </w:p>
    <w:p w14:paraId="7C64F08E" w14:textId="2E213CFB" w:rsidR="00AC2C64" w:rsidRDefault="00AC2C64">
      <w:pPr>
        <w:pStyle w:val="newncpi"/>
      </w:pPr>
      <w:r w:rsidRPr="00AC2C64">
        <w:rPr>
          <w:b/>
          <w:bCs/>
        </w:rPr>
        <w:t>Налоговый кодекс Республики Беларусь (Особенная часть) от 29 декабря 2009 года</w:t>
      </w:r>
      <w:r w:rsidRPr="00AC2C64">
        <w:t xml:space="preserve"> (Национальный реестр правовых актов Республики Беларусь, 2010 г., № 4, 2/1623)</w:t>
      </w:r>
    </w:p>
    <w:p w14:paraId="2E6733F0" w14:textId="77777777" w:rsidR="00AC2C64" w:rsidRPr="00AC2C64" w:rsidRDefault="00AC2C64" w:rsidP="00AC2C64">
      <w:pPr>
        <w:pStyle w:val="newncpi"/>
        <w:rPr>
          <w:b/>
          <w:bCs/>
        </w:rPr>
      </w:pPr>
      <w:r w:rsidRPr="00AC2C64">
        <w:rPr>
          <w:b/>
          <w:bCs/>
        </w:rPr>
        <w:t>Статья 309</w:t>
      </w:r>
      <w:r w:rsidRPr="00AC2C64">
        <w:rPr>
          <w:b/>
          <w:bCs/>
          <w:vertAlign w:val="superscript"/>
        </w:rPr>
        <w:t>1</w:t>
      </w:r>
      <w:r w:rsidRPr="00AC2C64">
        <w:rPr>
          <w:b/>
          <w:bCs/>
        </w:rPr>
        <w:t>. Льготы по налогу за владение собаками</w:t>
      </w:r>
    </w:p>
    <w:p w14:paraId="48404512" w14:textId="77777777" w:rsidR="00AC2C64" w:rsidRPr="00AC2C64" w:rsidRDefault="00AC2C64" w:rsidP="00AC2C64">
      <w:pPr>
        <w:pStyle w:val="newncpi"/>
      </w:pPr>
      <w:r w:rsidRPr="00AC2C64">
        <w:t>1. Освобождаются от налога за владение собаками следующие физические лица:</w:t>
      </w:r>
    </w:p>
    <w:p w14:paraId="64A696EF" w14:textId="77777777" w:rsidR="00AC2C64" w:rsidRPr="00AC2C64" w:rsidRDefault="00AC2C64" w:rsidP="00AC2C64">
      <w:pPr>
        <w:pStyle w:val="newncpi"/>
      </w:pPr>
      <w:r w:rsidRPr="00AC2C64">
        <w:t>1.1. инвалиды, владеющие собакой-поводырем;</w:t>
      </w:r>
    </w:p>
    <w:p w14:paraId="65F92F08" w14:textId="77777777" w:rsidR="00AC2C64" w:rsidRPr="00AC2C64" w:rsidRDefault="00AC2C64" w:rsidP="00AC2C64">
      <w:pPr>
        <w:pStyle w:val="newncpi"/>
      </w:pPr>
      <w:r w:rsidRPr="00AC2C64">
        <w:t>1.2. инвалиды I и II группы;</w:t>
      </w:r>
    </w:p>
    <w:p w14:paraId="238E2870" w14:textId="77777777" w:rsidR="00AC2C64" w:rsidRPr="00AC2C64" w:rsidRDefault="00AC2C64" w:rsidP="00AC2C64">
      <w:pPr>
        <w:pStyle w:val="newncpi"/>
      </w:pPr>
      <w:r w:rsidRPr="00AC2C64">
        <w:t>1.3. инвалиды III группы – в отношении одной собаки;</w:t>
      </w:r>
    </w:p>
    <w:p w14:paraId="1FB2250F" w14:textId="77777777" w:rsidR="00AC2C64" w:rsidRPr="00AC2C64" w:rsidRDefault="00AC2C64" w:rsidP="00AC2C64">
      <w:pPr>
        <w:pStyle w:val="newncpi"/>
      </w:pPr>
      <w:r w:rsidRPr="00AC2C64">
        <w:t>1.4. достигшие общеустановленного пенсионного возраста или имеющие право на пенсию по возрасту со снижением общеустановленного пенсионного возраста, – в отношении одной собаки;</w:t>
      </w:r>
    </w:p>
    <w:p w14:paraId="10447829" w14:textId="77777777" w:rsidR="00AC2C64" w:rsidRPr="00AC2C64" w:rsidRDefault="00AC2C64" w:rsidP="00AC2C64">
      <w:pPr>
        <w:pStyle w:val="newncpi"/>
      </w:pPr>
      <w:r w:rsidRPr="00AC2C64">
        <w:t xml:space="preserve">1.5. родители (усыновители, </w:t>
      </w:r>
      <w:proofErr w:type="spellStart"/>
      <w:r w:rsidRPr="00AC2C64">
        <w:t>удочерители</w:t>
      </w:r>
      <w:proofErr w:type="spellEnd"/>
      <w:r w:rsidRPr="00AC2C64">
        <w:t>), воспитывающие детей-инвалидов в возрасте до восемнадцати лет, – в отношении одной собаки;</w:t>
      </w:r>
    </w:p>
    <w:p w14:paraId="2DC269DA" w14:textId="77777777" w:rsidR="00AC2C64" w:rsidRPr="00AC2C64" w:rsidRDefault="00AC2C64" w:rsidP="00AC2C64">
      <w:pPr>
        <w:pStyle w:val="newncpi"/>
      </w:pPr>
      <w:r w:rsidRPr="00AC2C64">
        <w:t xml:space="preserve">1.6. родители (усыновители, </w:t>
      </w:r>
      <w:proofErr w:type="spellStart"/>
      <w:r w:rsidRPr="00AC2C64">
        <w:t>удочерители</w:t>
      </w:r>
      <w:proofErr w:type="spellEnd"/>
      <w:r w:rsidRPr="00AC2C64">
        <w:t>) в многодетных семьях с тремя и более детьми в возрасте до восемнадцати лет – в отношении одной собаки;</w:t>
      </w:r>
    </w:p>
    <w:p w14:paraId="4C06E43C" w14:textId="1663A970" w:rsidR="00AC2C64" w:rsidRDefault="00AC2C64" w:rsidP="00AC2C64">
      <w:pPr>
        <w:pStyle w:val="newncpi"/>
      </w:pPr>
      <w:r w:rsidRPr="00AC2C64">
        <w:t>1.7. проживающие в одноквартирных или блокированных жилых домах, – в отношении одной собаки.</w:t>
      </w:r>
    </w:p>
    <w:p w14:paraId="613FBC61" w14:textId="77777777" w:rsidR="00AC2C64" w:rsidRDefault="00AC2C64" w:rsidP="00AC2C64">
      <w:pPr>
        <w:pStyle w:val="newncpi"/>
        <w:rPr>
          <w:b/>
          <w:bCs/>
        </w:rPr>
      </w:pPr>
    </w:p>
    <w:p w14:paraId="56EC3C0A" w14:textId="652AADF4" w:rsidR="00AC2C64" w:rsidRPr="00AC2C64" w:rsidRDefault="00AC2C64" w:rsidP="00AC2C64">
      <w:pPr>
        <w:pStyle w:val="newncpi"/>
        <w:rPr>
          <w:b/>
          <w:bCs/>
        </w:rPr>
      </w:pPr>
      <w:r w:rsidRPr="00AC2C64">
        <w:rPr>
          <w:b/>
          <w:bCs/>
        </w:rPr>
        <w:t>Статья 310. Ставки налога за владение собаками</w:t>
      </w:r>
    </w:p>
    <w:p w14:paraId="3FC83D60" w14:textId="77777777" w:rsidR="00AC2C64" w:rsidRPr="00AC2C64" w:rsidRDefault="00AC2C64" w:rsidP="00AC2C64">
      <w:pPr>
        <w:pStyle w:val="newncpi"/>
      </w:pPr>
      <w:r w:rsidRPr="00AC2C64">
        <w:t>1. Ставка налога за владение собаками устанавливается за налоговый период в размере:</w:t>
      </w:r>
    </w:p>
    <w:p w14:paraId="7FE75B5F" w14:textId="77777777" w:rsidR="00AC2C64" w:rsidRPr="00AC2C64" w:rsidRDefault="00AC2C64" w:rsidP="00AC2C64">
      <w:pPr>
        <w:pStyle w:val="newncpi"/>
        <w:rPr>
          <w:b/>
          <w:bCs/>
        </w:rPr>
      </w:pPr>
      <w:r w:rsidRPr="00AC2C64">
        <w:rPr>
          <w:b/>
          <w:bCs/>
        </w:rPr>
        <w:t>63 белорусских рублей – за породы собак, включенные в перечень потенциально опасных пород собак;</w:t>
      </w:r>
    </w:p>
    <w:p w14:paraId="05AC737C" w14:textId="45DBCBE2" w:rsidR="00AC2C64" w:rsidRDefault="00AC2C64">
      <w:pPr>
        <w:pStyle w:val="newncpi"/>
      </w:pPr>
      <w:r w:rsidRPr="00AC2C64">
        <w:rPr>
          <w:b/>
          <w:bCs/>
        </w:rPr>
        <w:t>13 белорусских рублей – в иных случаях.</w:t>
      </w:r>
      <w:r w:rsidRPr="00AC2C64">
        <w:t xml:space="preserve"> </w:t>
      </w:r>
    </w:p>
    <w:p w14:paraId="11CFA70C" w14:textId="77777777" w:rsidR="00830AE8" w:rsidRDefault="00830AE8">
      <w:pPr>
        <w:pStyle w:val="newncpi"/>
      </w:pPr>
    </w:p>
    <w:p w14:paraId="0581BF9E" w14:textId="77777777" w:rsidR="00830AE8" w:rsidRPr="00830AE8" w:rsidRDefault="00830AE8" w:rsidP="00830AE8">
      <w:pPr>
        <w:pStyle w:val="newncpi"/>
        <w:rPr>
          <w:b/>
          <w:bCs/>
        </w:rPr>
      </w:pPr>
      <w:r w:rsidRPr="00830AE8">
        <w:rPr>
          <w:b/>
          <w:bCs/>
        </w:rPr>
        <w:t>ПЕРЕЧЕНЬ</w:t>
      </w:r>
      <w:r w:rsidRPr="00830AE8">
        <w:rPr>
          <w:b/>
          <w:bCs/>
        </w:rPr>
        <w:br/>
        <w:t>потенциально опасных пород собак</w:t>
      </w:r>
    </w:p>
    <w:p w14:paraId="5DA0B928" w14:textId="77777777" w:rsidR="00830AE8" w:rsidRPr="00830AE8" w:rsidRDefault="00830AE8" w:rsidP="00830AE8">
      <w:pPr>
        <w:pStyle w:val="newncpi"/>
      </w:pPr>
      <w:r w:rsidRPr="00830AE8">
        <w:t>1. Айну</w:t>
      </w:r>
    </w:p>
    <w:p w14:paraId="79EC2C8A" w14:textId="77777777" w:rsidR="00830AE8" w:rsidRPr="00830AE8" w:rsidRDefault="00830AE8" w:rsidP="00830AE8">
      <w:pPr>
        <w:pStyle w:val="newncpi"/>
      </w:pPr>
      <w:r w:rsidRPr="00830AE8">
        <w:t>2. </w:t>
      </w:r>
      <w:proofErr w:type="spellStart"/>
      <w:r w:rsidRPr="00830AE8">
        <w:t>Акабаш</w:t>
      </w:r>
      <w:proofErr w:type="spellEnd"/>
    </w:p>
    <w:p w14:paraId="74759162" w14:textId="77777777" w:rsidR="00830AE8" w:rsidRPr="00830AE8" w:rsidRDefault="00830AE8" w:rsidP="00830AE8">
      <w:pPr>
        <w:pStyle w:val="newncpi"/>
      </w:pPr>
      <w:r w:rsidRPr="00830AE8">
        <w:t>3. Американский питбультерьер</w:t>
      </w:r>
    </w:p>
    <w:p w14:paraId="5D574221" w14:textId="77777777" w:rsidR="00830AE8" w:rsidRPr="00830AE8" w:rsidRDefault="00830AE8" w:rsidP="00830AE8">
      <w:pPr>
        <w:pStyle w:val="newncpi"/>
      </w:pPr>
      <w:r w:rsidRPr="00830AE8">
        <w:t>4. Американский стаффордширский терьер</w:t>
      </w:r>
    </w:p>
    <w:p w14:paraId="7790CA9F" w14:textId="77777777" w:rsidR="00830AE8" w:rsidRPr="00830AE8" w:rsidRDefault="00830AE8" w:rsidP="00830AE8">
      <w:pPr>
        <w:pStyle w:val="newncpi"/>
      </w:pPr>
      <w:r w:rsidRPr="00830AE8">
        <w:t xml:space="preserve">5. Анатолийский </w:t>
      </w:r>
      <w:proofErr w:type="spellStart"/>
      <w:r w:rsidRPr="00830AE8">
        <w:t>карабаш</w:t>
      </w:r>
      <w:proofErr w:type="spellEnd"/>
    </w:p>
    <w:p w14:paraId="08BA1F6A" w14:textId="77777777" w:rsidR="00830AE8" w:rsidRPr="00830AE8" w:rsidRDefault="00830AE8" w:rsidP="00830AE8">
      <w:pPr>
        <w:pStyle w:val="newncpi"/>
      </w:pPr>
      <w:r w:rsidRPr="00830AE8">
        <w:t>6. Английский мастиф</w:t>
      </w:r>
    </w:p>
    <w:p w14:paraId="6753DD7A" w14:textId="77777777" w:rsidR="00830AE8" w:rsidRPr="00830AE8" w:rsidRDefault="00830AE8" w:rsidP="00830AE8">
      <w:pPr>
        <w:pStyle w:val="newncpi"/>
      </w:pPr>
      <w:r w:rsidRPr="00830AE8">
        <w:t>7. Бельгийский мастиф</w:t>
      </w:r>
    </w:p>
    <w:p w14:paraId="17648576" w14:textId="77777777" w:rsidR="00830AE8" w:rsidRPr="00830AE8" w:rsidRDefault="00830AE8" w:rsidP="00830AE8">
      <w:pPr>
        <w:pStyle w:val="newncpi"/>
      </w:pPr>
      <w:r w:rsidRPr="00830AE8">
        <w:t>8. Бордоский дог</w:t>
      </w:r>
    </w:p>
    <w:p w14:paraId="0660C82D" w14:textId="77777777" w:rsidR="00830AE8" w:rsidRPr="00830AE8" w:rsidRDefault="00830AE8" w:rsidP="00830AE8">
      <w:pPr>
        <w:pStyle w:val="newncpi"/>
      </w:pPr>
      <w:r w:rsidRPr="00830AE8">
        <w:t>9. Бульмастиф</w:t>
      </w:r>
    </w:p>
    <w:p w14:paraId="49EC24B0" w14:textId="77777777" w:rsidR="00830AE8" w:rsidRPr="00830AE8" w:rsidRDefault="00830AE8" w:rsidP="00830AE8">
      <w:pPr>
        <w:pStyle w:val="newncpi"/>
      </w:pPr>
      <w:r w:rsidRPr="00830AE8">
        <w:t>10. Бультерьер</w:t>
      </w:r>
    </w:p>
    <w:p w14:paraId="03485293" w14:textId="77777777" w:rsidR="00830AE8" w:rsidRPr="00830AE8" w:rsidRDefault="00830AE8" w:rsidP="00830AE8">
      <w:pPr>
        <w:pStyle w:val="newncpi"/>
      </w:pPr>
      <w:r w:rsidRPr="00830AE8">
        <w:t>11. Восточноевропейская овчарка</w:t>
      </w:r>
    </w:p>
    <w:p w14:paraId="089494B1" w14:textId="77777777" w:rsidR="00830AE8" w:rsidRPr="00830AE8" w:rsidRDefault="00830AE8" w:rsidP="00830AE8">
      <w:pPr>
        <w:pStyle w:val="newncpi"/>
      </w:pPr>
      <w:r w:rsidRPr="00830AE8">
        <w:t>12. Горская гончая</w:t>
      </w:r>
    </w:p>
    <w:p w14:paraId="47190220" w14:textId="77777777" w:rsidR="00830AE8" w:rsidRPr="00830AE8" w:rsidRDefault="00830AE8" w:rsidP="00830AE8">
      <w:pPr>
        <w:pStyle w:val="newncpi"/>
      </w:pPr>
      <w:r w:rsidRPr="00830AE8">
        <w:t>13. Грецкая овчарка</w:t>
      </w:r>
    </w:p>
    <w:p w14:paraId="25735C76" w14:textId="77777777" w:rsidR="00830AE8" w:rsidRPr="00830AE8" w:rsidRDefault="00830AE8" w:rsidP="00830AE8">
      <w:pPr>
        <w:pStyle w:val="newncpi"/>
      </w:pPr>
      <w:r w:rsidRPr="00830AE8">
        <w:t xml:space="preserve">14. Доберман </w:t>
      </w:r>
      <w:proofErr w:type="spellStart"/>
      <w:r w:rsidRPr="00830AE8">
        <w:t>Владека</w:t>
      </w:r>
      <w:proofErr w:type="spellEnd"/>
      <w:r w:rsidRPr="00830AE8">
        <w:t xml:space="preserve"> </w:t>
      </w:r>
      <w:proofErr w:type="spellStart"/>
      <w:r w:rsidRPr="00830AE8">
        <w:t>Рошины</w:t>
      </w:r>
      <w:proofErr w:type="spellEnd"/>
    </w:p>
    <w:p w14:paraId="55AED310" w14:textId="77777777" w:rsidR="00830AE8" w:rsidRPr="00830AE8" w:rsidRDefault="00830AE8" w:rsidP="00830AE8">
      <w:pPr>
        <w:pStyle w:val="newncpi"/>
      </w:pPr>
      <w:r w:rsidRPr="00830AE8">
        <w:t>15. Доберман-пинчер</w:t>
      </w:r>
    </w:p>
    <w:p w14:paraId="2EE3EF7F" w14:textId="77777777" w:rsidR="00830AE8" w:rsidRPr="00830AE8" w:rsidRDefault="00830AE8" w:rsidP="00830AE8">
      <w:pPr>
        <w:pStyle w:val="newncpi"/>
      </w:pPr>
      <w:r w:rsidRPr="00830AE8">
        <w:t>16. Ирландский волкодав</w:t>
      </w:r>
    </w:p>
    <w:p w14:paraId="79679714" w14:textId="77777777" w:rsidR="00830AE8" w:rsidRPr="00830AE8" w:rsidRDefault="00830AE8" w:rsidP="00830AE8">
      <w:pPr>
        <w:pStyle w:val="newncpi"/>
      </w:pPr>
      <w:r w:rsidRPr="00830AE8">
        <w:t>17. Кавказская овчарка</w:t>
      </w:r>
    </w:p>
    <w:p w14:paraId="161BC019" w14:textId="77777777" w:rsidR="00830AE8" w:rsidRPr="00830AE8" w:rsidRDefault="00830AE8" w:rsidP="00830AE8">
      <w:pPr>
        <w:pStyle w:val="newncpi"/>
      </w:pPr>
      <w:r w:rsidRPr="00830AE8">
        <w:t>18. Канарская собака (</w:t>
      </w:r>
      <w:proofErr w:type="spellStart"/>
      <w:r w:rsidRPr="00830AE8">
        <w:t>перро</w:t>
      </w:r>
      <w:proofErr w:type="spellEnd"/>
      <w:r w:rsidRPr="00830AE8">
        <w:t xml:space="preserve"> де </w:t>
      </w:r>
      <w:proofErr w:type="spellStart"/>
      <w:r w:rsidRPr="00830AE8">
        <w:t>пресо</w:t>
      </w:r>
      <w:proofErr w:type="spellEnd"/>
      <w:r w:rsidRPr="00830AE8">
        <w:t xml:space="preserve"> </w:t>
      </w:r>
      <w:proofErr w:type="spellStart"/>
      <w:r w:rsidRPr="00830AE8">
        <w:t>канарио</w:t>
      </w:r>
      <w:proofErr w:type="spellEnd"/>
      <w:r w:rsidRPr="00830AE8">
        <w:t>)</w:t>
      </w:r>
    </w:p>
    <w:p w14:paraId="41A52CDD" w14:textId="77777777" w:rsidR="00830AE8" w:rsidRPr="00830AE8" w:rsidRDefault="00830AE8" w:rsidP="00830AE8">
      <w:pPr>
        <w:pStyle w:val="newncpi"/>
      </w:pPr>
      <w:r w:rsidRPr="00830AE8">
        <w:t>19. Кангал</w:t>
      </w:r>
    </w:p>
    <w:p w14:paraId="78B6F372" w14:textId="77777777" w:rsidR="00830AE8" w:rsidRPr="00830AE8" w:rsidRDefault="00830AE8" w:rsidP="00830AE8">
      <w:pPr>
        <w:pStyle w:val="newncpi"/>
      </w:pPr>
      <w:r w:rsidRPr="00830AE8">
        <w:t>20. Капе-</w:t>
      </w:r>
      <w:proofErr w:type="spellStart"/>
      <w:r w:rsidRPr="00830AE8">
        <w:t>норсо</w:t>
      </w:r>
      <w:proofErr w:type="spellEnd"/>
    </w:p>
    <w:p w14:paraId="1DA66277" w14:textId="77777777" w:rsidR="00830AE8" w:rsidRPr="00830AE8" w:rsidRDefault="00830AE8" w:rsidP="00830AE8">
      <w:pPr>
        <w:pStyle w:val="newncpi"/>
      </w:pPr>
      <w:r w:rsidRPr="00830AE8">
        <w:t>21. Кенгуровая собака</w:t>
      </w:r>
    </w:p>
    <w:p w14:paraId="131C2110" w14:textId="77777777" w:rsidR="00830AE8" w:rsidRPr="00830AE8" w:rsidRDefault="00830AE8" w:rsidP="00830AE8">
      <w:pPr>
        <w:pStyle w:val="newncpi"/>
      </w:pPr>
      <w:r w:rsidRPr="00830AE8">
        <w:t>22. Корельская медвежья собака</w:t>
      </w:r>
    </w:p>
    <w:p w14:paraId="392D0E46" w14:textId="77777777" w:rsidR="00830AE8" w:rsidRPr="00830AE8" w:rsidRDefault="00830AE8" w:rsidP="00830AE8">
      <w:pPr>
        <w:pStyle w:val="newncpi"/>
      </w:pPr>
      <w:r w:rsidRPr="00830AE8">
        <w:t>23. </w:t>
      </w:r>
      <w:proofErr w:type="spellStart"/>
      <w:r w:rsidRPr="00830AE8">
        <w:t>Лангедокская</w:t>
      </w:r>
      <w:proofErr w:type="spellEnd"/>
      <w:r w:rsidRPr="00830AE8">
        <w:t xml:space="preserve"> пастушья собака</w:t>
      </w:r>
    </w:p>
    <w:p w14:paraId="10895465" w14:textId="77777777" w:rsidR="00830AE8" w:rsidRPr="00830AE8" w:rsidRDefault="00830AE8" w:rsidP="00830AE8">
      <w:pPr>
        <w:pStyle w:val="newncpi"/>
      </w:pPr>
      <w:r w:rsidRPr="00830AE8">
        <w:t>24. Леопардовая гончая</w:t>
      </w:r>
    </w:p>
    <w:p w14:paraId="7F776CAC" w14:textId="77777777" w:rsidR="00830AE8" w:rsidRPr="00830AE8" w:rsidRDefault="00830AE8" w:rsidP="00830AE8">
      <w:pPr>
        <w:pStyle w:val="newncpi"/>
      </w:pPr>
      <w:r w:rsidRPr="00830AE8">
        <w:t>25. Маремма (</w:t>
      </w:r>
      <w:proofErr w:type="spellStart"/>
      <w:r w:rsidRPr="00830AE8">
        <w:t>маремоанхо-абруцкая</w:t>
      </w:r>
      <w:proofErr w:type="spellEnd"/>
      <w:r w:rsidRPr="00830AE8">
        <w:t xml:space="preserve"> пастушья собака)</w:t>
      </w:r>
    </w:p>
    <w:p w14:paraId="2390F55A" w14:textId="77777777" w:rsidR="00830AE8" w:rsidRPr="00830AE8" w:rsidRDefault="00830AE8" w:rsidP="00830AE8">
      <w:pPr>
        <w:pStyle w:val="newncpi"/>
      </w:pPr>
      <w:r w:rsidRPr="00830AE8">
        <w:t>26. </w:t>
      </w:r>
      <w:proofErr w:type="spellStart"/>
      <w:r w:rsidRPr="00830AE8">
        <w:t>Мальорский</w:t>
      </w:r>
      <w:proofErr w:type="spellEnd"/>
      <w:r w:rsidRPr="00830AE8">
        <w:t xml:space="preserve"> бульдог (</w:t>
      </w:r>
      <w:proofErr w:type="spellStart"/>
      <w:r w:rsidRPr="00830AE8">
        <w:t>терро</w:t>
      </w:r>
      <w:proofErr w:type="spellEnd"/>
      <w:r w:rsidRPr="00830AE8">
        <w:t xml:space="preserve"> де </w:t>
      </w:r>
      <w:proofErr w:type="spellStart"/>
      <w:r w:rsidRPr="00830AE8">
        <w:t>мальоркин</w:t>
      </w:r>
      <w:proofErr w:type="spellEnd"/>
      <w:r w:rsidRPr="00830AE8">
        <w:t>)</w:t>
      </w:r>
    </w:p>
    <w:p w14:paraId="0B2142B5" w14:textId="77777777" w:rsidR="00830AE8" w:rsidRPr="00830AE8" w:rsidRDefault="00830AE8" w:rsidP="00830AE8">
      <w:pPr>
        <w:pStyle w:val="newncpi"/>
      </w:pPr>
      <w:r w:rsidRPr="00830AE8">
        <w:t>27. Московская сторожевая</w:t>
      </w:r>
    </w:p>
    <w:p w14:paraId="1608D866" w14:textId="77777777" w:rsidR="00830AE8" w:rsidRPr="00830AE8" w:rsidRDefault="00830AE8" w:rsidP="00830AE8">
      <w:pPr>
        <w:pStyle w:val="newncpi"/>
      </w:pPr>
      <w:r w:rsidRPr="00830AE8">
        <w:t>28. Немецкая овчарка</w:t>
      </w:r>
    </w:p>
    <w:p w14:paraId="6C626ED5" w14:textId="77777777" w:rsidR="00830AE8" w:rsidRPr="00830AE8" w:rsidRDefault="00830AE8" w:rsidP="00830AE8">
      <w:pPr>
        <w:pStyle w:val="newncpi"/>
      </w:pPr>
      <w:r w:rsidRPr="00830AE8">
        <w:t>29. Немецкий дог</w:t>
      </w:r>
    </w:p>
    <w:p w14:paraId="1742E0E9" w14:textId="77777777" w:rsidR="00830AE8" w:rsidRPr="00830AE8" w:rsidRDefault="00830AE8" w:rsidP="00830AE8">
      <w:pPr>
        <w:pStyle w:val="newncpi"/>
      </w:pPr>
      <w:r w:rsidRPr="00830AE8">
        <w:t xml:space="preserve">30. Овчарка </w:t>
      </w:r>
      <w:proofErr w:type="spellStart"/>
      <w:r w:rsidRPr="00830AE8">
        <w:t>Дауфмана</w:t>
      </w:r>
      <w:proofErr w:type="spellEnd"/>
    </w:p>
    <w:p w14:paraId="7BBB041C" w14:textId="77777777" w:rsidR="00830AE8" w:rsidRPr="00830AE8" w:rsidRDefault="00830AE8" w:rsidP="00830AE8">
      <w:pPr>
        <w:pStyle w:val="newncpi"/>
      </w:pPr>
      <w:r w:rsidRPr="00830AE8">
        <w:t>31. Ризеншнауцер</w:t>
      </w:r>
    </w:p>
    <w:p w14:paraId="5099B296" w14:textId="77777777" w:rsidR="00830AE8" w:rsidRPr="00830AE8" w:rsidRDefault="00830AE8" w:rsidP="00830AE8">
      <w:pPr>
        <w:pStyle w:val="newncpi"/>
      </w:pPr>
      <w:r w:rsidRPr="00830AE8">
        <w:t>32. Ротвейлер</w:t>
      </w:r>
    </w:p>
    <w:p w14:paraId="33650D9E" w14:textId="77777777" w:rsidR="00830AE8" w:rsidRPr="00830AE8" w:rsidRDefault="00830AE8" w:rsidP="00830AE8">
      <w:pPr>
        <w:pStyle w:val="newncpi"/>
      </w:pPr>
      <w:r w:rsidRPr="00830AE8">
        <w:t>33. Румынская овчарка</w:t>
      </w:r>
    </w:p>
    <w:p w14:paraId="46C83A2B" w14:textId="77777777" w:rsidR="00830AE8" w:rsidRPr="00830AE8" w:rsidRDefault="00830AE8" w:rsidP="00830AE8">
      <w:pPr>
        <w:pStyle w:val="newncpi"/>
      </w:pPr>
      <w:r w:rsidRPr="00830AE8">
        <w:t>34. Среднеазиатская овчарка</w:t>
      </w:r>
    </w:p>
    <w:p w14:paraId="0A6C6050" w14:textId="77777777" w:rsidR="00830AE8" w:rsidRPr="00830AE8" w:rsidRDefault="00830AE8" w:rsidP="00830AE8">
      <w:pPr>
        <w:pStyle w:val="newncpi"/>
      </w:pPr>
      <w:r w:rsidRPr="00830AE8">
        <w:t>35. </w:t>
      </w:r>
      <w:proofErr w:type="spellStart"/>
      <w:r w:rsidRPr="00830AE8">
        <w:t>Супердог</w:t>
      </w:r>
      <w:proofErr w:type="spellEnd"/>
      <w:r w:rsidRPr="00830AE8">
        <w:t xml:space="preserve"> и </w:t>
      </w:r>
      <w:proofErr w:type="spellStart"/>
      <w:r w:rsidRPr="00830AE8">
        <w:t>його</w:t>
      </w:r>
      <w:proofErr w:type="spellEnd"/>
      <w:r w:rsidRPr="00830AE8">
        <w:t xml:space="preserve"> помесь с майконгом</w:t>
      </w:r>
    </w:p>
    <w:p w14:paraId="7AB7849F" w14:textId="77777777" w:rsidR="00830AE8" w:rsidRPr="00830AE8" w:rsidRDefault="00830AE8" w:rsidP="00830AE8">
      <w:pPr>
        <w:pStyle w:val="newncpi"/>
      </w:pPr>
      <w:r w:rsidRPr="00830AE8">
        <w:t>36. </w:t>
      </w:r>
      <w:proofErr w:type="spellStart"/>
      <w:r w:rsidRPr="00830AE8">
        <w:t>Тоса-ину</w:t>
      </w:r>
      <w:proofErr w:type="spellEnd"/>
      <w:r w:rsidRPr="00830AE8">
        <w:t xml:space="preserve"> (японская бойцовская собака)</w:t>
      </w:r>
    </w:p>
    <w:p w14:paraId="6D67C45D" w14:textId="77777777" w:rsidR="00830AE8" w:rsidRPr="00830AE8" w:rsidRDefault="00830AE8" w:rsidP="00830AE8">
      <w:pPr>
        <w:pStyle w:val="newncpi"/>
      </w:pPr>
      <w:r w:rsidRPr="00830AE8">
        <w:t xml:space="preserve">37. Фила </w:t>
      </w:r>
      <w:proofErr w:type="spellStart"/>
      <w:r w:rsidRPr="00830AE8">
        <w:t>бразильеро</w:t>
      </w:r>
      <w:proofErr w:type="spellEnd"/>
    </w:p>
    <w:p w14:paraId="40E526AF" w14:textId="77777777" w:rsidR="00830AE8" w:rsidRPr="00830AE8" w:rsidRDefault="00830AE8" w:rsidP="00830AE8">
      <w:pPr>
        <w:pStyle w:val="newncpi"/>
      </w:pPr>
      <w:r w:rsidRPr="00830AE8">
        <w:t>38. Черный терьер</w:t>
      </w:r>
    </w:p>
    <w:p w14:paraId="3209EE01" w14:textId="77777777" w:rsidR="00830AE8" w:rsidRPr="00830AE8" w:rsidRDefault="00830AE8" w:rsidP="00830AE8">
      <w:pPr>
        <w:pStyle w:val="newncpi"/>
      </w:pPr>
      <w:r w:rsidRPr="00830AE8">
        <w:t>39. Шарпей (китайская бойцовская собака)</w:t>
      </w:r>
    </w:p>
    <w:p w14:paraId="41FC5B74" w14:textId="77777777" w:rsidR="00830AE8" w:rsidRPr="00830AE8" w:rsidRDefault="00830AE8" w:rsidP="00830AE8">
      <w:pPr>
        <w:pStyle w:val="newncpi"/>
      </w:pPr>
      <w:r w:rsidRPr="00830AE8">
        <w:t>40. Южнорусская овчарка (Постановление Министерства сельского хозяйства и продовольствия Республики Беларусь от 12 декабря 2001 г. № 40 «О некоторых вопросах разведения, содержания, ввоза в Республику Беларусь, а также обучения владельцев потенциально опасных пород собак» (Национальный реестр правовых актов Республики Беларусь, 2002 г., № 5, 8/7556))</w:t>
      </w:r>
    </w:p>
    <w:p w14:paraId="7904EC65" w14:textId="77777777" w:rsidR="00830AE8" w:rsidRDefault="00830AE8">
      <w:pPr>
        <w:pStyle w:val="newncpi"/>
      </w:pPr>
    </w:p>
    <w:p w14:paraId="6CB33931" w14:textId="7F7F6E34" w:rsidR="00AC2C64" w:rsidRDefault="00AC2C6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C2C64" w14:paraId="4C04DF1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0849" w14:textId="77777777" w:rsidR="00AC2C64" w:rsidRDefault="00AC2C6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992F" w14:textId="77777777" w:rsidR="00AC2C64" w:rsidRDefault="00AC2C64">
            <w:pPr>
              <w:pStyle w:val="capu1"/>
            </w:pPr>
            <w:r>
              <w:t>УТВЕРЖДЕНО</w:t>
            </w:r>
          </w:p>
          <w:p w14:paraId="4739708C" w14:textId="77777777" w:rsidR="00AC2C64" w:rsidRDefault="00AC2C64">
            <w:pPr>
              <w:pStyle w:val="cap1"/>
            </w:pPr>
            <w:r>
              <w:t>Решение</w:t>
            </w:r>
          </w:p>
          <w:p w14:paraId="019F87D9" w14:textId="77777777" w:rsidR="00AC2C64" w:rsidRDefault="00AC2C64">
            <w:pPr>
              <w:pStyle w:val="cap1"/>
            </w:pPr>
            <w:r>
              <w:t>Бешенковичского районного</w:t>
            </w:r>
          </w:p>
          <w:p w14:paraId="602B5344" w14:textId="77777777" w:rsidR="00AC2C64" w:rsidRDefault="00AC2C64">
            <w:pPr>
              <w:pStyle w:val="cap1"/>
            </w:pPr>
            <w:r>
              <w:t>Совета депутатов</w:t>
            </w:r>
          </w:p>
          <w:p w14:paraId="792643D3" w14:textId="77777777" w:rsidR="00AC2C64" w:rsidRDefault="00AC2C64">
            <w:pPr>
              <w:pStyle w:val="cap1"/>
            </w:pPr>
            <w:r>
              <w:t>30.12.2015 № 75</w:t>
            </w:r>
          </w:p>
        </w:tc>
      </w:tr>
    </w:tbl>
    <w:p w14:paraId="71EECB9E" w14:textId="77777777" w:rsidR="00AC2C64" w:rsidRDefault="00AC2C64">
      <w:pPr>
        <w:pStyle w:val="titleu"/>
      </w:pPr>
      <w:r>
        <w:t>ИНСТРУКЦИЯ</w:t>
      </w:r>
      <w:r>
        <w:br/>
        <w:t>о сборе с заготовителей</w:t>
      </w:r>
    </w:p>
    <w:p w14:paraId="710665EE" w14:textId="77777777" w:rsidR="00AC2C64" w:rsidRDefault="00AC2C64">
      <w:pPr>
        <w:pStyle w:val="point"/>
      </w:pPr>
      <w:r>
        <w:t>1. Инструкция о сборе с заготовителей разработана в соответствии с Налоговым кодексом Республики Беларусь и определяет порядок исчисления и уплаты сбора с заготовителей.</w:t>
      </w:r>
    </w:p>
    <w:p w14:paraId="1D814D48" w14:textId="77777777" w:rsidR="00AC2C64" w:rsidRDefault="00AC2C64">
      <w:pPr>
        <w:pStyle w:val="point"/>
      </w:pPr>
      <w:r>
        <w:t>2. Плательщиками сбора с заготовителей (далее – плательщики) признаются организации и индивидуальные предприниматели с учетом особенностей, установленных частью второй настоящего пункта.</w:t>
      </w:r>
    </w:p>
    <w:p w14:paraId="047E7357" w14:textId="77777777" w:rsidR="00AC2C64" w:rsidRDefault="00AC2C64">
      <w:pPr>
        <w:pStyle w:val="newncpi"/>
      </w:pPr>
      <w:r>
        <w:t>При осуществлении промысловой заготовки (закупки) дикорастущих растений (их частей), грибов, технического и лекарственного растительного сырья (далее – дикорастущая продукция) в целях их промышленной переработки или реализации на основании договоров комиссии, поручения или иных аналогичных гражданско-правовых договоров плательщиком сбора с заготовителей признается комитент, доверитель или иное аналогичное лицо.</w:t>
      </w:r>
    </w:p>
    <w:p w14:paraId="021B7C38" w14:textId="77777777" w:rsidR="00AC2C64" w:rsidRDefault="00AC2C64">
      <w:pPr>
        <w:pStyle w:val="point"/>
      </w:pPr>
      <w:r>
        <w:t>3. Объектом обложения сбором с заготовителей признается осуществление промысловой заготовки (закупки) дикорастущей продукции в целях ее промышленной переработки или реализации, в том числе при ее осуществлении на основании договоров комиссии, поручения или иных аналогичных гражданско-правовых договоров, за исключением заготовки дикорастущей продукции, при которой плательщиком внесена плата за побочное лесное пользование либо применено освобождение от указанной платы.</w:t>
      </w:r>
    </w:p>
    <w:p w14:paraId="737918E1" w14:textId="77777777" w:rsidR="00AC2C64" w:rsidRDefault="00AC2C64">
      <w:pPr>
        <w:pStyle w:val="point"/>
      </w:pPr>
      <w:r>
        <w:t>4. 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14:paraId="07BC53D9" w14:textId="77777777" w:rsidR="00AC2C64" w:rsidRDefault="00AC2C64">
      <w:pPr>
        <w:pStyle w:val="point"/>
      </w:pPr>
      <w:r>
        <w:t>5. Ставки сбора с заготовителей устанавливаются в следующих размерах:</w:t>
      </w:r>
    </w:p>
    <w:p w14:paraId="5EE969CC" w14:textId="77777777" w:rsidR="00AC2C64" w:rsidRDefault="00AC2C64">
      <w:pPr>
        <w:pStyle w:val="newncpi"/>
      </w:pPr>
      <w:r>
        <w:t>для плательщиков, за исключением указанных в абзаце третьем настоящего пункта, – 5 процентов;</w:t>
      </w:r>
    </w:p>
    <w:p w14:paraId="3B8C9944" w14:textId="77777777" w:rsidR="00AC2C64" w:rsidRDefault="00AC2C64">
      <w:pPr>
        <w:pStyle w:val="newncpi"/>
      </w:pPr>
      <w:r>
        <w:t>для резидентов Китайско-Белорусского индустриального парка по истечении 10 календарных лет, следующих за годом их регистрации в качестве резидента, в течение следующих 10 календарных лет – 2,5 процента.</w:t>
      </w:r>
    </w:p>
    <w:p w14:paraId="1BE09D99" w14:textId="77777777" w:rsidR="00AC2C64" w:rsidRDefault="00AC2C64">
      <w:pPr>
        <w:pStyle w:val="point"/>
      </w:pPr>
      <w:r>
        <w:t>6. Налоговым периодом сбора с заготовителей признается календарный квартал.</w:t>
      </w:r>
    </w:p>
    <w:p w14:paraId="130AAC89" w14:textId="77777777" w:rsidR="00AC2C64" w:rsidRDefault="00AC2C64">
      <w:pPr>
        <w:pStyle w:val="point"/>
      </w:pPr>
      <w:r>
        <w:t>7. Сумма сбора с заготовителей определяется как произведение налоговой базы и ставки сбора с заготовителей.</w:t>
      </w:r>
    </w:p>
    <w:p w14:paraId="1B89AEDB" w14:textId="77777777" w:rsidR="00AC2C64" w:rsidRDefault="00AC2C64">
      <w:pPr>
        <w:pStyle w:val="point"/>
      </w:pPr>
      <w:r>
        <w:t>8. Плательщики ежеквартально представляют в налоговый орган налоговую декларацию (расчет) по установленной законодательством форме не позднее 20-го числа месяца, следующего за истекшим налоговым периодом.</w:t>
      </w:r>
    </w:p>
    <w:p w14:paraId="0C05CC0C" w14:textId="77777777" w:rsidR="00AC2C64" w:rsidRDefault="00AC2C64">
      <w:pPr>
        <w:pStyle w:val="point"/>
      </w:pPr>
      <w:r>
        <w:t>9. Уплата сбора с заготовителей производится ежеквартально не позднее 22-го числа месяца, следующего за истекшим налоговым периодом.</w:t>
      </w:r>
    </w:p>
    <w:p w14:paraId="55719C95" w14:textId="77777777" w:rsidR="00AC2C64" w:rsidRDefault="00AC2C64">
      <w:pPr>
        <w:pStyle w:val="point"/>
      </w:pPr>
      <w:r>
        <w:t>10. Исключен.</w:t>
      </w:r>
    </w:p>
    <w:p w14:paraId="0290F120" w14:textId="77777777" w:rsidR="00AC2C64" w:rsidRDefault="00AC2C64">
      <w:pPr>
        <w:pStyle w:val="point"/>
      </w:pPr>
      <w:r>
        <w:t>11. 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14:paraId="0D7F08CF" w14:textId="77777777" w:rsidR="00AC2C64" w:rsidRDefault="00AC2C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C2C64" w14:paraId="29958922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198CF" w14:textId="77777777" w:rsidR="00AC2C64" w:rsidRDefault="00AC2C6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0231A" w14:textId="77777777" w:rsidR="00AC2C64" w:rsidRDefault="00AC2C64">
            <w:pPr>
              <w:pStyle w:val="capu1"/>
            </w:pPr>
            <w:r>
              <w:t>УТВЕРЖДЕНО</w:t>
            </w:r>
          </w:p>
          <w:p w14:paraId="7EDF777B" w14:textId="77777777" w:rsidR="00AC2C64" w:rsidRDefault="00AC2C64">
            <w:pPr>
              <w:pStyle w:val="cap1"/>
            </w:pPr>
            <w:r>
              <w:t>Решение</w:t>
            </w:r>
          </w:p>
          <w:p w14:paraId="5DF79E1F" w14:textId="77777777" w:rsidR="00AC2C64" w:rsidRDefault="00AC2C64">
            <w:pPr>
              <w:pStyle w:val="cap1"/>
            </w:pPr>
            <w:r>
              <w:t>Бешенковичского районного</w:t>
            </w:r>
          </w:p>
          <w:p w14:paraId="7F79EF96" w14:textId="77777777" w:rsidR="00AC2C64" w:rsidRDefault="00AC2C64">
            <w:pPr>
              <w:pStyle w:val="cap1"/>
            </w:pPr>
            <w:r>
              <w:t>Совета депутатов</w:t>
            </w:r>
          </w:p>
          <w:p w14:paraId="03E95604" w14:textId="77777777" w:rsidR="00AC2C64" w:rsidRDefault="00AC2C64">
            <w:pPr>
              <w:pStyle w:val="cap1"/>
            </w:pPr>
            <w:r>
              <w:t>30.12.2015 № 75</w:t>
            </w:r>
          </w:p>
        </w:tc>
      </w:tr>
    </w:tbl>
    <w:p w14:paraId="68BAA13C" w14:textId="77777777" w:rsidR="00AC2C64" w:rsidRDefault="00AC2C64">
      <w:pPr>
        <w:pStyle w:val="titleu"/>
      </w:pPr>
      <w:r>
        <w:lastRenderedPageBreak/>
        <w:t>ИНСТРУКЦИЯ</w:t>
      </w:r>
      <w:r>
        <w:br/>
        <w:t>о курортном сборе</w:t>
      </w:r>
    </w:p>
    <w:p w14:paraId="5AC86A5D" w14:textId="77777777" w:rsidR="00AC2C64" w:rsidRDefault="00AC2C64">
      <w:pPr>
        <w:pStyle w:val="point"/>
      </w:pPr>
      <w:r>
        <w:t>1. Инструкция о курортном сборе разработана в соответствии с Налоговым кодексом Республики Беларусь и определяет порядок исчисления и уплаты курортного сбора.</w:t>
      </w:r>
    </w:p>
    <w:p w14:paraId="55A55D62" w14:textId="77777777" w:rsidR="00AC2C64" w:rsidRDefault="00AC2C64">
      <w:pPr>
        <w:pStyle w:val="point"/>
      </w:pPr>
      <w:r>
        <w:t>2. Плательщиками курортного сбора признаются физические лица, за исключением:</w:t>
      </w:r>
    </w:p>
    <w:p w14:paraId="43FC4C26" w14:textId="77777777" w:rsidR="00AC2C64" w:rsidRDefault="00AC2C64">
      <w:pPr>
        <w:pStyle w:val="newncpi"/>
      </w:pPr>
      <w:r>
        <w:t>лиц, направляемых на оздоровление и санаторно-курортное лечение бесплатно за счет средств бюджета государственного внебюджетного фонда социальной защиты населения Республики Беларусь и республиканского бюджета в соответствии с законодательными актами;</w:t>
      </w:r>
    </w:p>
    <w:p w14:paraId="41021596" w14:textId="77777777" w:rsidR="00AC2C64" w:rsidRDefault="00AC2C64">
      <w:pPr>
        <w:pStyle w:val="newncpi"/>
      </w:pPr>
      <w:r>
        <w:t>лиц, направляемых на оздоровление и санаторно-курортное лечение в рамках страховых выплат по обязательному страхованию от несчастных случаев на производстве и профессиональных заболеваний (включая сопровождающих лиц);</w:t>
      </w:r>
    </w:p>
    <w:p w14:paraId="0802F5C9" w14:textId="77777777" w:rsidR="00AC2C64" w:rsidRDefault="00AC2C64">
      <w:pPr>
        <w:pStyle w:val="newncpi"/>
      </w:pPr>
      <w:r>
        <w:t>детей, направляемых в образовательно-оздоровительные центры, воспитательно-оздоровительные, спортивно-оздоровительные лагеря по путевкам, стоимость которых удешевлена за счет средств республиканского или местных бюджетов.</w:t>
      </w:r>
    </w:p>
    <w:p w14:paraId="749BCEC6" w14:textId="77777777" w:rsidR="00AC2C64" w:rsidRDefault="00AC2C64">
      <w:pPr>
        <w:pStyle w:val="point"/>
      </w:pPr>
      <w:r>
        <w:t>3. Объектом обложения курортным сбором признается нахождение (проживание не менее суток) физического лица в расположенных на территории Бешенковичского района:</w:t>
      </w:r>
    </w:p>
    <w:p w14:paraId="185868F5" w14:textId="77777777" w:rsidR="00AC2C64" w:rsidRDefault="00AC2C64">
      <w:pPr>
        <w:pStyle w:val="newncpi"/>
      </w:pPr>
      <w:r>
        <w:t>санаторно-курортных организациях;</w:t>
      </w:r>
    </w:p>
    <w:p w14:paraId="12BF4F8E" w14:textId="77777777" w:rsidR="00AC2C64" w:rsidRDefault="00AC2C64">
      <w:pPr>
        <w:pStyle w:val="newncpi"/>
      </w:pPr>
      <w:r>
        <w:t>профилакториях, оздоровительных центрах (комплексах), образовательно-оздоровительных центрах, воспитательно-оздоровительных лагерях, спортивно-оздоровительных лагерях, домах (базах) отдыха, пансионатах (далее – оздоровительные организации).</w:t>
      </w:r>
    </w:p>
    <w:p w14:paraId="505BB82D" w14:textId="77777777" w:rsidR="00AC2C64" w:rsidRDefault="00AC2C64">
      <w:pPr>
        <w:pStyle w:val="newncpi"/>
      </w:pPr>
      <w:r>
        <w:t>Не признается объектом обложения курортным сбором нахождение физического лица в санаторно-курортных или оздоровительных организациях в связи с:</w:t>
      </w:r>
    </w:p>
    <w:p w14:paraId="69B57C06" w14:textId="77777777" w:rsidR="00AC2C64" w:rsidRDefault="00AC2C64">
      <w:pPr>
        <w:pStyle w:val="newncpi"/>
      </w:pPr>
      <w:r>
        <w:t>участием в семинарах, конференциях и иных аналогичных мероприятиях, для проведения которых используется территория санаторно-курортной или оздоровительной организации на основании договоров, заключенных организациями – организаторами таких мероприятий;</w:t>
      </w:r>
    </w:p>
    <w:p w14:paraId="7263DEAC" w14:textId="77777777" w:rsidR="00AC2C64" w:rsidRDefault="00AC2C64">
      <w:pPr>
        <w:pStyle w:val="newncpi"/>
      </w:pPr>
      <w:r>
        <w:t>проживанием во время нахождения в служебной командировке;</w:t>
      </w:r>
    </w:p>
    <w:p w14:paraId="7C626D48" w14:textId="77777777" w:rsidR="00AC2C64" w:rsidRDefault="00AC2C64">
      <w:pPr>
        <w:pStyle w:val="newncpi"/>
      </w:pPr>
      <w:r>
        <w:t>выполнением физическими лицами, проживающими в санаторно-курортных или оздоровительных организациях, служебных обязанностей – в части стоимости услуг по проживанию и питанию.</w:t>
      </w:r>
    </w:p>
    <w:p w14:paraId="67076CA6" w14:textId="77777777" w:rsidR="00AC2C64" w:rsidRDefault="00AC2C64">
      <w:pPr>
        <w:pStyle w:val="point"/>
      </w:pPr>
      <w:r>
        <w:t>4. Налоговая база курортного сбора определяется как стоимость путевки в санаторно-курортную или оздоровительную организацию, а если путевка не оформляется – как стоимость платных услуг, оказываемых физическим лицам при посещении санаторно-курортной или оздоровительной организации с проживанием.</w:t>
      </w:r>
    </w:p>
    <w:p w14:paraId="22E00222" w14:textId="77777777" w:rsidR="00AC2C64" w:rsidRDefault="00AC2C64">
      <w:pPr>
        <w:pStyle w:val="newncpi"/>
      </w:pPr>
      <w:r>
        <w:t>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14:paraId="06BEA66D" w14:textId="77777777" w:rsidR="00AC2C64" w:rsidRDefault="00AC2C64">
      <w:pPr>
        <w:pStyle w:val="newncpi"/>
      </w:pPr>
      <w:r>
        <w:t>В случаях, когда оборот по реализации санаторно-курортных и (или) оздоровительных услуг облагается налогом на добавленную стоимость, налоговая база курортного сбора определяется исходя из стоимости указанных услуг, включающей налог на добавленную стоимость.</w:t>
      </w:r>
    </w:p>
    <w:p w14:paraId="5B034F6E" w14:textId="77777777" w:rsidR="00AC2C64" w:rsidRDefault="00AC2C64">
      <w:pPr>
        <w:pStyle w:val="newncpi"/>
      </w:pPr>
      <w:r>
        <w:t>При частичной оплате стоимости путевки за счет средств государственного внебюджетного фонда социальной защиты населения Республики Беларусь, республиканского или местного бюджетов (за исключением путевок в образовательно-оздоровительные центры, воспитательно-оздоровительные, спортивно-оздоровительные лагеря, стоимость которых удешевлена за счет средств республиканского или местного бюджетов), средств обязательного страхования от несчастных случаев на производстве и профессиональных заболеваний налоговой базой является стоимость путевки, уменьшенная на размер таких средств.</w:t>
      </w:r>
    </w:p>
    <w:p w14:paraId="290B12C4" w14:textId="77777777" w:rsidR="00AC2C64" w:rsidRDefault="00AC2C64">
      <w:pPr>
        <w:pStyle w:val="point"/>
      </w:pPr>
      <w:r>
        <w:t>5. Ставка курортного сбора устанавливается в размере 4 процентов от налоговой базы.</w:t>
      </w:r>
    </w:p>
    <w:p w14:paraId="28DBC0F2" w14:textId="77777777" w:rsidR="00AC2C64" w:rsidRDefault="00AC2C64">
      <w:pPr>
        <w:pStyle w:val="point"/>
      </w:pPr>
      <w:r>
        <w:t>6. Налоговым периодом курортного сбора признается календарный квартал.</w:t>
      </w:r>
    </w:p>
    <w:p w14:paraId="1185D24B" w14:textId="77777777" w:rsidR="00AC2C64" w:rsidRDefault="00AC2C64">
      <w:pPr>
        <w:pStyle w:val="point"/>
      </w:pPr>
      <w:r>
        <w:t>7. Сумма курортного сбора исчисляется как произведение налоговой базы и ставки курортного сбора.</w:t>
      </w:r>
    </w:p>
    <w:p w14:paraId="55E13A92" w14:textId="77777777" w:rsidR="00AC2C64" w:rsidRDefault="00AC2C64">
      <w:pPr>
        <w:pStyle w:val="point"/>
      </w:pPr>
      <w:r>
        <w:lastRenderedPageBreak/>
        <w:t>8. 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районный бюджет не позднее 22-го числа месяца, следующего за истекшим налоговым периодом.</w:t>
      </w:r>
    </w:p>
    <w:p w14:paraId="3C90DD23" w14:textId="77777777" w:rsidR="00AC2C64" w:rsidRDefault="00AC2C64">
      <w:pPr>
        <w:pStyle w:val="newncpi"/>
      </w:pPr>
      <w:r>
        <w:t>Санаторно-курортные и оздоровительные организации не позднее 25-го числа месяца, следующего за истекшим налоговым периодом, представляют в налоговый орган по месту постановки на учет информацию о перечислении курортного сбора в произвольной форме.</w:t>
      </w:r>
    </w:p>
    <w:p w14:paraId="1C806959" w14:textId="77777777" w:rsidR="00AC2C64" w:rsidRDefault="00AC2C64">
      <w:pPr>
        <w:pStyle w:val="point"/>
      </w:pPr>
      <w:r>
        <w:t>8</w:t>
      </w:r>
      <w:r>
        <w:rPr>
          <w:vertAlign w:val="superscript"/>
        </w:rPr>
        <w:t>1</w:t>
      </w:r>
      <w:r>
        <w:t>. Внесение плательщиком сумм курортного сбора санаторно-курортной или оздоровительной организации производится не позднее последних суток нахождения физического лица в такой организации исходя из ставки курортного сбора, действующей на дату внесения сумм этого сбора. Взимание курортного сбора до момента прибытия физического лица в санаторно-курортную или оздоровительную организацию не производится.</w:t>
      </w:r>
    </w:p>
    <w:p w14:paraId="055648D0" w14:textId="77777777" w:rsidR="00AC2C64" w:rsidRDefault="00AC2C64">
      <w:pPr>
        <w:pStyle w:val="point"/>
      </w:pPr>
      <w:r>
        <w:t>8</w:t>
      </w:r>
      <w:r>
        <w:rPr>
          <w:vertAlign w:val="superscript"/>
        </w:rPr>
        <w:t>2</w:t>
      </w:r>
      <w:r>
        <w:t>. В случаях неполного использования санаторно-курортных и оздоровительных услуг, предоставляемых согласно приобретенной путевке, или досрочного выезда физического лица из санаторно-курортной или оздоровительной организации возврат ранее уплаченной суммы (ее части) курортного сбора не производится.</w:t>
      </w:r>
    </w:p>
    <w:p w14:paraId="5A33FFFE" w14:textId="77777777" w:rsidR="00AC2C64" w:rsidRDefault="00AC2C64">
      <w:pPr>
        <w:pStyle w:val="point"/>
      </w:pPr>
      <w:r>
        <w:t>9. От уплаты курортного сбора освобождаются:</w:t>
      </w:r>
    </w:p>
    <w:p w14:paraId="17F0A877" w14:textId="77777777" w:rsidR="00AC2C64" w:rsidRDefault="00AC2C64">
      <w:pPr>
        <w:pStyle w:val="newncpi"/>
      </w:pPr>
      <w:r>
        <w:t>несовершеннолетние дети;</w:t>
      </w:r>
    </w:p>
    <w:p w14:paraId="067B9402" w14:textId="77777777" w:rsidR="00AC2C64" w:rsidRDefault="00AC2C64">
      <w:pPr>
        <w:pStyle w:val="newncpi"/>
      </w:pPr>
      <w:r>
        <w:t>инвалиды и участники Великой Отечественной войны и приравненные к ним в установленном порядке лица;</w:t>
      </w:r>
    </w:p>
    <w:p w14:paraId="4DE9BBBC" w14:textId="77777777" w:rsidR="00AC2C64" w:rsidRDefault="00AC2C64">
      <w:pPr>
        <w:pStyle w:val="newncpi"/>
      </w:pPr>
      <w:r>
        <w:t>инвалиды I, II и III группы;</w:t>
      </w:r>
    </w:p>
    <w:p w14:paraId="1AD3FF2E" w14:textId="77777777" w:rsidR="00AC2C64" w:rsidRDefault="00AC2C64">
      <w:pPr>
        <w:pStyle w:val="newncpi"/>
      </w:pPr>
      <w:r>
        <w:t>граждане, достигшие пенсионного возраста.</w:t>
      </w:r>
    </w:p>
    <w:p w14:paraId="51F1400E" w14:textId="77777777" w:rsidR="00AC2C64" w:rsidRDefault="00AC2C64">
      <w:pPr>
        <w:pStyle w:val="newncpi"/>
      </w:pPr>
      <w:r>
        <w:t>Налоговые льготы, установленные частью первой настоящего пункта, распространяются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14:paraId="2F3349B4" w14:textId="77777777" w:rsidR="00AC2C64" w:rsidRDefault="00AC2C64">
      <w:pPr>
        <w:pStyle w:val="point"/>
      </w:pPr>
      <w:r>
        <w:t>10. Средства от уплаты курортного сбора направляются на цели, предусмотренные в установленном законодательством порядке.</w:t>
      </w:r>
    </w:p>
    <w:p w14:paraId="5D9F5874" w14:textId="77777777" w:rsidR="00AC2C64" w:rsidRDefault="00AC2C64">
      <w:pPr>
        <w:pStyle w:val="newncpi"/>
      </w:pPr>
      <w:r>
        <w:t> </w:t>
      </w:r>
    </w:p>
    <w:p w14:paraId="451140B8" w14:textId="77777777" w:rsidR="00F12C76" w:rsidRDefault="00F12C76" w:rsidP="006C0B77">
      <w:pPr>
        <w:spacing w:after="0"/>
        <w:ind w:firstLine="709"/>
        <w:jc w:val="both"/>
      </w:pPr>
    </w:p>
    <w:sectPr w:rsidR="00F12C76" w:rsidSect="00AC2C64">
      <w:headerReference w:type="even" r:id="rId6"/>
      <w:pgSz w:w="11906" w:h="16838" w:code="9"/>
      <w:pgMar w:top="709" w:right="1133" w:bottom="709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CDEC" w14:textId="77777777" w:rsidR="002A7C5D" w:rsidRDefault="002A7C5D" w:rsidP="00AC2C64">
      <w:pPr>
        <w:spacing w:after="0"/>
      </w:pPr>
      <w:r>
        <w:separator/>
      </w:r>
    </w:p>
  </w:endnote>
  <w:endnote w:type="continuationSeparator" w:id="0">
    <w:p w14:paraId="4CF0E60B" w14:textId="77777777" w:rsidR="002A7C5D" w:rsidRDefault="002A7C5D" w:rsidP="00AC2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A23A" w14:textId="77777777" w:rsidR="002A7C5D" w:rsidRDefault="002A7C5D" w:rsidP="00AC2C64">
      <w:pPr>
        <w:spacing w:after="0"/>
      </w:pPr>
      <w:r>
        <w:separator/>
      </w:r>
    </w:p>
  </w:footnote>
  <w:footnote w:type="continuationSeparator" w:id="0">
    <w:p w14:paraId="21CEADCE" w14:textId="77777777" w:rsidR="002A7C5D" w:rsidRDefault="002A7C5D" w:rsidP="00AC2C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3112" w14:textId="77777777" w:rsidR="00AC2C64" w:rsidRDefault="00AC2C64" w:rsidP="00C77F2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0E44D231" w14:textId="77777777" w:rsidR="00AC2C64" w:rsidRDefault="00AC2C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64"/>
    <w:rsid w:val="002A7C5D"/>
    <w:rsid w:val="00363588"/>
    <w:rsid w:val="006C0B77"/>
    <w:rsid w:val="008142E4"/>
    <w:rsid w:val="008242FF"/>
    <w:rsid w:val="00830AE8"/>
    <w:rsid w:val="00870751"/>
    <w:rsid w:val="00922C48"/>
    <w:rsid w:val="00A41530"/>
    <w:rsid w:val="00A455D4"/>
    <w:rsid w:val="00AC2C64"/>
    <w:rsid w:val="00B915B7"/>
    <w:rsid w:val="00C1653C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15E6D"/>
  <w15:chartTrackingRefBased/>
  <w15:docId w15:val="{A8A545C7-6740-4329-A2DA-39A292B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2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C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C6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2C6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2C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2C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2C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2C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2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C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C2C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C6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C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C6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C2C64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AC2C64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u">
    <w:name w:val="titleu"/>
    <w:basedOn w:val="a"/>
    <w:rsid w:val="00AC2C64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AC2C6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AC2C6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AC2C64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AC2C64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AC2C64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AC2C64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AC2C6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AC2C64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AC2C6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2C6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2C6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2C6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2C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2C64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C2C6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C2C6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C2C6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C2C64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AC2C64"/>
  </w:style>
  <w:style w:type="table" w:styleId="af1">
    <w:name w:val="Table Grid"/>
    <w:basedOn w:val="a1"/>
    <w:uiPriority w:val="39"/>
    <w:rsid w:val="00AC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2025-04-24T07:14:00Z</dcterms:created>
  <dcterms:modified xsi:type="dcterms:W3CDTF">2025-04-24T07:14:00Z</dcterms:modified>
</cp:coreProperties>
</file>