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F0" w:rsidRPr="00E21BF0" w:rsidRDefault="005774BC" w:rsidP="005774BC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21BF0">
        <w:rPr>
          <w:rFonts w:ascii="Times New Roman" w:hAnsi="Times New Roman" w:cs="Times New Roman"/>
          <w:b/>
          <w:bCs/>
          <w:sz w:val="30"/>
          <w:szCs w:val="30"/>
        </w:rPr>
        <w:t xml:space="preserve">Инспекция Министерства по налогам и сборам Республики Беларусь по Железнодорожному району </w:t>
      </w:r>
      <w:proofErr w:type="spellStart"/>
      <w:r w:rsidRPr="00E21BF0">
        <w:rPr>
          <w:rFonts w:ascii="Times New Roman" w:hAnsi="Times New Roman" w:cs="Times New Roman"/>
          <w:b/>
          <w:bCs/>
          <w:sz w:val="30"/>
          <w:szCs w:val="30"/>
        </w:rPr>
        <w:t>г.Витебска</w:t>
      </w:r>
      <w:proofErr w:type="spellEnd"/>
      <w:r w:rsidRPr="00E21BF0">
        <w:rPr>
          <w:rFonts w:ascii="Times New Roman" w:hAnsi="Times New Roman" w:cs="Times New Roman"/>
          <w:b/>
          <w:bCs/>
          <w:sz w:val="30"/>
          <w:szCs w:val="30"/>
        </w:rPr>
        <w:t xml:space="preserve"> напоминает: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t xml:space="preserve"> В соответствии с нормами Положения об использовании кассового и иного оборудования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при приеме средств платежа</w:t>
      </w:r>
      <w:r w:rsidRPr="005774BC">
        <w:rPr>
          <w:rFonts w:ascii="Times New Roman" w:hAnsi="Times New Roman" w:cs="Times New Roman"/>
          <w:sz w:val="30"/>
          <w:szCs w:val="30"/>
        </w:rPr>
        <w:t xml:space="preserve">, утвержденного постановлением Совета Министров Республики Беларусь и Национального банка Республики Беларусь от 06.07.2011 №924/16 (с изменениями и дополнениями)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субъекты предпринимательской деятельности</w:t>
      </w:r>
      <w:r w:rsidRPr="005774BC">
        <w:rPr>
          <w:rFonts w:ascii="Times New Roman" w:hAnsi="Times New Roman" w:cs="Times New Roman"/>
          <w:sz w:val="30"/>
          <w:szCs w:val="30"/>
        </w:rPr>
        <w:t xml:space="preserve"> - пользователи охотничьих угодий в местах постоянного места осуществления деятельности при приеме денежных средств в счет оплаты за разрешения, охотничьи путевки к разрешениям и оплаты продукции охоты,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обязаны использовать кассовое оборудование</w:t>
      </w:r>
      <w:r w:rsidRPr="005774BC">
        <w:rPr>
          <w:rFonts w:ascii="Times New Roman" w:hAnsi="Times New Roman" w:cs="Times New Roman"/>
          <w:sz w:val="30"/>
          <w:szCs w:val="30"/>
        </w:rPr>
        <w:t xml:space="preserve"> с установленным средством контроля налогового органа, исключение составляют случаи, когда прием денежных средств за разрешение и продукцию охоты осуществляется руководителем охоты непосредственно в месте добычи животного (на территории охотничьих угодий), в соответствии с пунктом 37 Положения № 924/16 каждый факт приема наличных денежных средств оформляется документом с определенной степенью защиты,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продукции. Таким документом является квитанция о приеме наличных денежных средств при продаже товаров (выполнении работ, оказании услуг) без применения кассового оборудования и платежных терминалов, форма которой установлена постановлением Министерства антимонопольного регулирования и торговли Республики Беларусь от 7 апреля 2021 г. № 25 «О форме квитанции». 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t xml:space="preserve">Кроме того, в соответствии с пунктом 17 Перечня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объектов</w:t>
      </w:r>
      <w:r w:rsidRPr="005774BC">
        <w:rPr>
          <w:rFonts w:ascii="Times New Roman" w:hAnsi="Times New Roman" w:cs="Times New Roman"/>
          <w:sz w:val="30"/>
          <w:szCs w:val="30"/>
        </w:rPr>
        <w:t xml:space="preserve"> (видов деятельности),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в которых</w:t>
      </w:r>
      <w:r w:rsidRPr="005774BC">
        <w:rPr>
          <w:rFonts w:ascii="Times New Roman" w:hAnsi="Times New Roman" w:cs="Times New Roman"/>
          <w:sz w:val="30"/>
          <w:szCs w:val="30"/>
        </w:rPr>
        <w:t xml:space="preserve"> (при осуществлении которых)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юридические лица и индивидуальные предприниматели устанавливают и используют карточные платежные терминалы</w:t>
      </w:r>
      <w:r w:rsidRPr="005774BC">
        <w:rPr>
          <w:rFonts w:ascii="Times New Roman" w:hAnsi="Times New Roman" w:cs="Times New Roman"/>
          <w:sz w:val="30"/>
          <w:szCs w:val="30"/>
        </w:rPr>
        <w:t xml:space="preserve">, Приложение 1 к постановлению Совета Министров Республики Беларусь и Национального банка Республики Беларусь 06.07.2011 N 924/16 (в редакции постановления Совета Министров Республики Беларусь и Национального банка Республики Беларусь 21.05.2014 N 489/7 в объектах оказания услуг, связанных с организацией охоты, временным проживанием охотников (дома охотника, </w:t>
      </w:r>
      <w:proofErr w:type="spellStart"/>
      <w:r w:rsidRPr="005774BC">
        <w:rPr>
          <w:rFonts w:ascii="Times New Roman" w:hAnsi="Times New Roman" w:cs="Times New Roman"/>
          <w:sz w:val="30"/>
          <w:szCs w:val="30"/>
        </w:rPr>
        <w:t>агроусадьбы</w:t>
      </w:r>
      <w:proofErr w:type="spellEnd"/>
      <w:r w:rsidRPr="005774BC">
        <w:rPr>
          <w:rFonts w:ascii="Times New Roman" w:hAnsi="Times New Roman" w:cs="Times New Roman"/>
          <w:sz w:val="30"/>
          <w:szCs w:val="30"/>
        </w:rPr>
        <w:t xml:space="preserve"> и другое)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обязаны установить и использовать карточные платежные терминалы.</w:t>
      </w:r>
      <w:r w:rsidRPr="005774B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lastRenderedPageBreak/>
        <w:t xml:space="preserve">В соответствии с Правилами охоты, утвержденными Указом Президента Республики Беларусь от 21.03.2018 №112 (с изменениями и дополнениями) (далее - Правила охоты), охота на животных подразделяется на: 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t xml:space="preserve">-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 xml:space="preserve">охоту на ненормируемые виды охотничьих животных, </w:t>
      </w:r>
      <w:r w:rsidRPr="005774BC">
        <w:rPr>
          <w:rFonts w:ascii="Times New Roman" w:hAnsi="Times New Roman" w:cs="Times New Roman"/>
          <w:sz w:val="30"/>
          <w:szCs w:val="30"/>
        </w:rPr>
        <w:t xml:space="preserve">при этом охотник приобретает охотничью путевку в соответствии с пунктом 18 Правил охоты, а именно, охотничья путевка реализуется охотнику пользователем охотничьих угодий, или его вышестоящей организацией, или иной организацией, заключившей договор на реализацию охотничьих путевок с пользователем охотничьих угодий, в том числе через специализированную информационную систему Министерства лесного хозяйства в глобальной компьютерной сети Интернет. Пунктом 30 Правил охоты установлено, что плата за охотничью путевку взимается при ее реализации, за исключением случаев, предусмотренных Правилами охоты. 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E21BF0">
        <w:rPr>
          <w:rFonts w:ascii="Times New Roman" w:hAnsi="Times New Roman" w:cs="Times New Roman"/>
          <w:b/>
          <w:bCs/>
          <w:sz w:val="30"/>
          <w:szCs w:val="30"/>
        </w:rPr>
        <w:t>- охоту на нормируемые виды охотничьих животных,</w:t>
      </w:r>
      <w:r w:rsidRPr="005774BC">
        <w:rPr>
          <w:rFonts w:ascii="Times New Roman" w:hAnsi="Times New Roman" w:cs="Times New Roman"/>
          <w:sz w:val="30"/>
          <w:szCs w:val="30"/>
        </w:rPr>
        <w:t xml:space="preserve"> для этого охотник приобретает разрешение и охотничью путевку к разрешению в соответствии с пунктом 19 Правил охоты, при этом разрешение и охотничья путевка к разрешению реализуются охотнику только пользователем охотничьих угодий. 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t>Пунктом 32 Правил охоты установлено, что плата за охотничью путевку к разрешению взимается перед началом охоты по данной путевке с каждого охотника, участвующего в охоте и имеющего право на добычу охотничьего животного, за исключением случаев, предусмотренных Правилами охоты.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t xml:space="preserve"> Пунктом 31 Правил охоты установлено, что при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охоте на нормируемые виды охотничьих животных</w:t>
      </w:r>
      <w:r w:rsidRPr="005774BC">
        <w:rPr>
          <w:rFonts w:ascii="Times New Roman" w:hAnsi="Times New Roman" w:cs="Times New Roman"/>
          <w:sz w:val="30"/>
          <w:szCs w:val="30"/>
        </w:rPr>
        <w:t xml:space="preserve"> плата за разрешение взимается с охотника (группы охотников) после добычи охотничьего животного и закрытия этого разрешения, за исключением случаев, предусмотренных Правилами охоты. Если животное не было добыто, плата за разрешение не взимается. Если животное было ранено и не добыто, разрешение закрывается и с охотника (группы охотников) взимается плата в размере 50 процентов стоимости разрешения на его добычу. 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t xml:space="preserve">В соответствии с пунктом 100 Правил охоты при добыче охотничьего животного нормируемых видов до начала разделки туши, за исключением удаления внутренних органов на месте добычи, и (или) перемещения (транспортировки) добытого животного руководитель </w:t>
      </w:r>
      <w:r w:rsidRPr="005774BC">
        <w:rPr>
          <w:rFonts w:ascii="Times New Roman" w:hAnsi="Times New Roman" w:cs="Times New Roman"/>
          <w:sz w:val="30"/>
          <w:szCs w:val="30"/>
        </w:rPr>
        <w:lastRenderedPageBreak/>
        <w:t xml:space="preserve">охоты или охотник, исполняющий обязанности руководителя охоты, обязан на месте добычи закрыть разрешение. Местом добычи животного считается место его обездвиживания. Разрешение считается закрытым после заполнения отчета о его использовании руководителем охоты или охотником, исполняющим обязанности руководителя охоты. </w:t>
      </w:r>
    </w:p>
    <w:p w:rsidR="00E21BF0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t xml:space="preserve">В соответствии с пунктом 37 Правил охоты разрешение и (или) охотничью путевку к разрешению вместе с наличной выручкой (денежные средства за добытое животное (продукцию охоты), полученной от их реализации, руководитель охоты обязан вернуть пользователю охотничьих угодий в порядке и сроки, установленные пользователем охотничьих угодий, но не позднее семи календарных дней после их закрытия или истечения срока действия. </w:t>
      </w:r>
    </w:p>
    <w:p w:rsidR="00916CE1" w:rsidRPr="005774BC" w:rsidRDefault="005774BC" w:rsidP="005774BC">
      <w:pPr>
        <w:jc w:val="both"/>
        <w:rPr>
          <w:rFonts w:ascii="Times New Roman" w:hAnsi="Times New Roman" w:cs="Times New Roman"/>
          <w:sz w:val="30"/>
          <w:szCs w:val="30"/>
        </w:rPr>
      </w:pPr>
      <w:r w:rsidRPr="005774BC">
        <w:rPr>
          <w:rFonts w:ascii="Times New Roman" w:hAnsi="Times New Roman" w:cs="Times New Roman"/>
          <w:sz w:val="30"/>
          <w:szCs w:val="30"/>
        </w:rPr>
        <w:t xml:space="preserve">В соответствии с пунктом 29 Правил охоты размер платы за охотничьи путевки, разрешения и охотничьи путевки к разрешениям, а также за продукцию охоты определяется пользователями охотничьих угодий самостоятельно и не может быть меньше минимальной предельной стоимости, установленной Советом Министров Республики Беларусь. Таким образом, при </w:t>
      </w:r>
      <w:r w:rsidRPr="00E21BF0">
        <w:rPr>
          <w:rFonts w:ascii="Times New Roman" w:hAnsi="Times New Roman" w:cs="Times New Roman"/>
          <w:b/>
          <w:bCs/>
          <w:sz w:val="30"/>
          <w:szCs w:val="30"/>
        </w:rPr>
        <w:t>охоте на нормируемые виды охотничьих животных</w:t>
      </w:r>
      <w:r w:rsidRPr="005774BC">
        <w:rPr>
          <w:rFonts w:ascii="Times New Roman" w:hAnsi="Times New Roman" w:cs="Times New Roman"/>
          <w:sz w:val="30"/>
          <w:szCs w:val="30"/>
        </w:rPr>
        <w:t xml:space="preserve"> и добы</w:t>
      </w:r>
      <w:bookmarkStart w:id="0" w:name="_GoBack"/>
      <w:bookmarkEnd w:id="0"/>
      <w:r w:rsidRPr="005774BC">
        <w:rPr>
          <w:rFonts w:ascii="Times New Roman" w:hAnsi="Times New Roman" w:cs="Times New Roman"/>
          <w:sz w:val="30"/>
          <w:szCs w:val="30"/>
        </w:rPr>
        <w:t>че в ходе охоты животного нормируемых видов, охотник обязан произвести оплату разрешения и оплатить продукцию охоты (стоимость животного), передав денежные средства руководителю охоты, который обязан вернуть необходимые документы и передать принятые от охотника денежные средства пользователю охотничьих угодий в порядке и сроки, установленные пользователем охотничьих угодий, но не позднее семи календарных дней после их закрытия или истечения срока действия.</w:t>
      </w:r>
    </w:p>
    <w:sectPr w:rsidR="00916CE1" w:rsidRPr="0057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C"/>
    <w:rsid w:val="005774BC"/>
    <w:rsid w:val="00916CE1"/>
    <w:rsid w:val="00E2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761C"/>
  <w15:chartTrackingRefBased/>
  <w15:docId w15:val="{CFE0AB27-671A-4252-9E58-94A73E76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Идеология</dc:creator>
  <cp:keywords/>
  <dc:description/>
  <cp:lastModifiedBy>Идеология</cp:lastModifiedBy>
  <cp:revision>2</cp:revision>
  <dcterms:created xsi:type="dcterms:W3CDTF">2023-10-11T10:04:00Z</dcterms:created>
  <dcterms:modified xsi:type="dcterms:W3CDTF">2023-10-11T10:23:00Z</dcterms:modified>
</cp:coreProperties>
</file>