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ConsPlusNormal"/>
        <w:spacing w:before="200"/>
      </w:pPr>
    </w:p>
    <w:p w:rsidR="00000000" w:rsidRDefault="0000000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000000">
      <w:pPr>
        <w:pStyle w:val="ConsPlusNormal"/>
        <w:spacing w:before="200"/>
        <w:jc w:val="both"/>
      </w:pPr>
      <w:r>
        <w:t>Республики Беларусь 8 декабря 2022 г. N 5/51061</w:t>
      </w: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000000">
      <w:pPr>
        <w:pStyle w:val="ConsPlusTitle"/>
        <w:jc w:val="center"/>
      </w:pPr>
      <w:r>
        <w:t>7 декабря 2022 г. N 839</w:t>
      </w:r>
    </w:p>
    <w:p w:rsidR="00000000" w:rsidRDefault="00000000">
      <w:pPr>
        <w:pStyle w:val="ConsPlusTitle"/>
        <w:jc w:val="center"/>
      </w:pPr>
    </w:p>
    <w:p w:rsidR="00000000" w:rsidRDefault="00000000">
      <w:pPr>
        <w:pStyle w:val="ConsPlusTitle"/>
        <w:jc w:val="center"/>
      </w:pPr>
      <w:r>
        <w:t>О МЕРАХ ПО ПОДДЕРЖКЕ ТУРИСТИЧЕСКОЙ ИНДУСТРИИ, РАЗВИТИЮ ВНУТРЕННЕГО ТУРИЗМА И МЕЖДУНАРОДНОГО ВЪЕЗДНОГО ТУРИЗМА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Во исполнение абзаца четвертого статьи 10, части пятой пункта 2 статьи 30, абзаца второго статьи 41 Закона Республики Беларусь от 11 ноября 2021 г. N 129-З "О туризме" Совет Министров Республики Беларусь ПОСТАНОВЛЯЕТ: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 Установить первый взнос в фонд ответственности туроператоров в размере не менее 1000 базовых величин.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Утвердить: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Положение о порядке и условиях создания и функционирования туристических информационных центров, а также их учета (прилагается);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Положение о порядке создания туристических зон (прилагается).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Внести изменения в следующие постановления Совета Министров Республики Беларусь: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3.1. в постановлении Совета Министров Республики Беларусь от 29 июля 2006 г. N 963 "Вопросы Министерства спорта и туризма Республики Беларусь":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пункте 6 Положения о Министерстве спорта и туризма Республики Беларусь, утвержденного этим постановлением: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подпункт 6.2 изложить в следующей редакции: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"6.2. организует разработку и реализацию государственных программ в сфере физической культуры и спорта и государственных программ в сфере туризма, анализирует ход их выполнения и подготавливает отчеты об их реализации в порядке, установленном законодательством;";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подпункте 6.8: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из абзаца шестого слово "бланка" исключить;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после абзаца шестидесятого дополнить подпункт абзацами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"форму ведения Единой классификации видов туризма в Республике Беларусь;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перечень видов туризма и их классификационные признаки;";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абзац шестьдесят первый исключить;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подпункте 6.11: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после абзаца четвертого дополнить подпункт абзацем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"Единую классификацию видов туризма в Республике Беларусь;";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абзацы пятый и шестой исключить;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подпункт 6.41 изложить в следующей редакции: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"6.41. на основании информации, размещенной на официальных сайтах Министерства иностранных дел или иных государственных органов в глобальной компьютерной сети Интернет либо предоставленной Министерством иностранных дел или иными государственными органами, в течение 72 часов с момента ее получения информирует участников и субъектов туристической деятельности о странах (местах), посещение которых в данное время представляет угрозу безопасности туристов, экскурсантов, посредством размещения соответствующих сведений на своем официальном сайте в глобальной компьютерной сети Интернет, а также иными не запрещенными законодательными актами способами;";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Положении о Департаменте по туризму Министерства спорта и туризма Республики Беларусь, утвержденном этим постановлением: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пункте 2 слова "от 25 ноября 1999 г. N 326-З" заменить словами "от 11 ноября 2021 г. N 129-З";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пункте 5: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подпункты 5.24 и 5.25 изложить в следующей редакции: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"5.24. организует работу по ведению учета туристических информационных центров, Национального реестра экскурсоводов и гидов-переводчиков Республики Беларусь, последующего учета аттестованных аудиогидов (мобильных сопровождений экскурсий);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5.25. организует работу по прохождению профессиональной аттестации, подтверждающей квалификацию экскурсоводов, гидов-переводчиков, аттестации аудиогидов (мобильных сопровождений экскурсий);";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дополнить пункт подпунктом 5.32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"5.32. организует работу по формированию и ведению Единой классификации видов туризма в Республике Беларусь.";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3.2. в Положении о порядке и условиях прохождения профессиональной аттестации, подтверждающей квалификацию экскурсоводов и гидов-переводчиков, утвержденном постановлением Совета Министров Республики Беларусь от 2 сентября 2022 г. N 582: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пункт 2 дополнить частью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"К аттестации не допускаются физические лица, которые имеют судимость за преступления, предусмотренные в статьях 123, 130, 293, 341-1, 342, 357, 361, 367 - 369-1, 369-3 и 370 Уголовного кодекса Республики Беларусь, и (или) привлечены к административной ответственности за правонарушения, предусмотренные в статьях 19.8, 19.10, 19.11, 24.22 и 24.23 Кодекса Республики Беларусь об административных правонарушениях.";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пункт 8 после абзаца третьего дополнить абзацем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"запрашивает в органах внутренних дел в отношении претендентов сведения о судимости за преступления, предусмотренные в статьях 123, 130, 293, 341-1, 342, 357, 361, 367 - 369-1, 369-3 и 370 Уголовного кодекса Республики Беларусь, и (или) фактах привлечения к административной ответственности за правонарушения, предусмотренные в статьях 19.8, 19.10, 19.11, 24.22 и 24.23 Кодекса Республики Беларусь об административных правонарушениях;";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пункт 39 дополнить абзацами следующего содержания: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"экскурсовод, гид-переводчик имеют судимость за преступления, предусмотренные в статьях 123, 130, 293, 341-1, 342, 357, 361, 367 - 369-1, 369-3 и 370 Уголовного кодекса Республики Беларусь, и (или) привлечены к административной ответственности за правонарушения, предусмотренные в статьях 19.8, 19.10, 19.11, 24.22 и 24.23 Кодекса Республики Беларусь об административных правонарушениях;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выявлено несоответствие экскурсовода, гида-переводчика профессиональным и этическим требованиям, установленным законодательством.".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4. Признать утратившими силу: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18 июня 2004 г. N 730 "Об утверждении Положений о порядке создания туристических зон и ведения Государственного кадастра туристических ресурсов Республики Беларусь";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19 июля 2007 г. N 922 "О внесении изменений в постановление Совета Министров Республики Беларусь от 18 июня 2004 г. N 730";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8 декабря 2016 г. N 1007 "О делегировании Министерству спорта и туризма полномочий на принятие нормативного правового акта в сфере туризма".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января 2023 г.</w:t>
      </w:r>
    </w:p>
    <w:p w:rsidR="00000000" w:rsidRDefault="00000000">
      <w:pPr>
        <w:pStyle w:val="ConsPlusNormal"/>
        <w:ind w:firstLine="54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5027"/>
      </w:tblGrid>
      <w:tr w:rsidR="00000000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07.12.2022 N 839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0" w:name="Par70"/>
      <w:bookmarkEnd w:id="0"/>
      <w:r>
        <w:t>ПОЛОЖЕНИЕ</w:t>
      </w:r>
    </w:p>
    <w:p w:rsidR="00000000" w:rsidRDefault="00000000">
      <w:pPr>
        <w:pStyle w:val="ConsPlusTitle"/>
        <w:jc w:val="center"/>
      </w:pPr>
      <w:r>
        <w:t>О ПОРЯДКЕ И УСЛОВИЯХ СОЗДАНИЯ И ФУНКЦИОНИРОВАНИЯ ТУРИСТИЧЕСКИХ ИНФОРМАЦИОННЫХ ЦЕНТРОВ, А ТАКЖЕ ИХ УЧЕТА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00000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Настоящим Положением определяются порядок и условия создания и функционирования туристических информационных центров (далее - ТИЦ).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основные термины и их определения в значениях, установленных в пункте 1 статьи 1 Закона Республики Беларусь "О туризме".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Задачами ТИЦ являются: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популяризация внутреннего туризма и международного въездного туризма;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развитие сотрудничества с субъектами туристической индустрии и иными юридическими лицами;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проведение как в Республике Беларусь, так и за ее пределами маркетинговой деятельности, направленной на ознакомление с туристическим потенциалом Республики Беларусь;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реализация программ, стратегий, концепций, планов мероприятий и иных мер по поддержке туристической индустрии, развитию внутреннего туризма и международного въездного туризма;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популяризация белорусской истории, национальной культуры, традиций и достижений белорусского народа.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В соответствии с задачами ТИЦ осуществляют следующие функции: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продвижение туристического потенциала Республики Беларусь и ее административно-территориальных единиц, включая подготовку и размещение информации о туристических ресурсах и иной информации для субъектов и участников туристической деятельности в социальных сетях, средствах массовой информации, глобальной компьютерной сети Интернет;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участие в мероприятиях, направленных на развитие туристического потенциала Республики Беларусь и ее административно-территориальных единиц;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разработка и внедрение фирменного стиля информационных материалов о туристическом потенциале Республики Беларусь и ее административно-территориальных единиц;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сбор, накопление, обработка, анализ и распространение информации, указанной в части первой пункта 2 статьи 16 Закона Республики Беларусь "О туризме";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сотрудничество с государственными органами и организациями, субъектами и участниками туристической деятельности;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организация мероприятий по развитию внутреннего туризма и международного въездного туризма;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подготовка информационных материалов в сферах внутреннего туризма и международного въездного туризма;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взаимодействие со средствами массовой информации и местными исполнительными и распорядительными органами в целях формирования и распространения информации о туристическом потенциале Республики Беларусь и ее административно-территориальных единиц;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иные функции в соответствии с законодательством о туризме.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000000">
      <w:pPr>
        <w:pStyle w:val="ConsPlusNormal"/>
        <w:jc w:val="center"/>
      </w:pPr>
      <w:r>
        <w:rPr>
          <w:b/>
          <w:bCs/>
        </w:rPr>
        <w:t>СОЗДАНИЕ И ФУНКЦИОНИРОВАНИЕ ТИЦ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5. ТИЦ на территории Республики Беларусь и за ее пределами создаются субъектами, указанными в части первой пункта 1 статьи 16 Закона Республики Беларусь "О туризме".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 Финансирование деятельности ТИЦ осуществляется за счет: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местных бюджетов (при создании ТИЦ в форме государственного учреждения);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собственных средств;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иных источников, не запрещенных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Целесообразность создания ТИЦ в форме государственных учреждений определяется местными исполнительными и распорядительными органами при одновременном соблюдении следующих критериев: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наличие информационного ресурса о туристическом потенциале административно-территориальной единицы Республики Беларусь в глобальной компьютерной сети Интернет;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Государственный список историко-культурных ценностей Республики Беларусь размещен на сайте http://gosspisok.gov.by/Home/Index.</w:t>
            </w:r>
          </w:p>
          <w:p w:rsidR="00000000" w:rsidRDefault="0000000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Список памятников природы размещен на официальном сайте Министерства природных ресурсов и охраны окружающей среды Республики Беларусь (https://minpriroda.gov.by/ru).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  <w:spacing w:before="260"/>
        <w:ind w:firstLine="540"/>
        <w:jc w:val="both"/>
      </w:pPr>
      <w:r>
        <w:t>наличие на территории административно-территориальной единицы Республики Беларусь не менее десяти объектов, относящихся к историко-культурным ценностям и (или) памятникам природы.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Штатная численность ТИЦ, созданных в форме государственных учреждений, определяется с учетом задач и функций ТИЦ и перспектив развития туризма, но не более нормативов штатной численности согласно приложению 1.</w:t>
      </w:r>
    </w:p>
    <w:p w:rsidR="00000000" w:rsidRDefault="00000000">
      <w:pPr>
        <w:pStyle w:val="ConsPlusNormal"/>
        <w:jc w:val="both"/>
      </w:pPr>
      <w:r>
        <w:lastRenderedPageBreak/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Типовые штаты ТИЦ в форме государственных учреждений устанавливаются Министерством спорта и туризма с применением нормативов штатной численности согласно приложению 1.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ТИЦ могут осуществлять следующие виды деятельности: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организация экскурсионного обслуживания;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информационно-консультационные услуги;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бронирование мест проживания в гостиницах и аналогичных средствах размещения, мест для проезда в транспортных средствах;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бронирование и заказ билетов на спортивные, спортивно-массовые, физкультурно-оздоровительные, культурные и иные массовые мероприятия;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деятельность в области телекоммуникаций (в части обеспечения доступа для туристов, экскурсантов в глобальную компьютерную сеть Интернет);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прокат инвентаря для спорта и отдыха;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иная не запрещенная законодательством деятельность, связанная с развитием туризма.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Местные исполнительные и распорядительные органы координируют деятельность ТИЦ, расположенных на территории соответствующих административно-территориальных единиц Республики Беларусь, независимо от формы собственности.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9. ТИЦ, как правило, располагается в центральной части населенного пункта или в непосредственной близости от наиболее значимых туристических ресурсов, объектов транспортной инфраструктуры.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10. Доступ туристов, экскурсантов и иных физических лиц (далее - посетители) в здание (помещение) ТИЦ бесплатный.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ТИЦ ведутся журнал учета посетителей ТИЦ по форме согласно приложению 3 и журнал учета мероприятий, проводимых ТИЦ, по форме согласно приложению 4.</w:t>
      </w:r>
    </w:p>
    <w:p w:rsidR="00000000" w:rsidRDefault="00000000">
      <w:pPr>
        <w:pStyle w:val="ConsPlusNormal"/>
        <w:jc w:val="both"/>
      </w:pPr>
      <w:r>
        <w:t>(часть вторая п. 10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Журнал учета посетителей ТИЦ и журнал учета мероприятий, проводимых ТИЦ, ведутся ежегодно в электронном виде лицом, назначенным в соответствии с приказом директора ТИЦ. В течение десяти рабочих дней после окончания календарного года данные журналы выводятся на бумажный носитель для утверждения директором ТИЦ.</w:t>
      </w:r>
    </w:p>
    <w:p w:rsidR="00000000" w:rsidRDefault="00000000">
      <w:pPr>
        <w:pStyle w:val="ConsPlusNormal"/>
        <w:jc w:val="both"/>
      </w:pPr>
      <w:r>
        <w:t>(часть третья п. 10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11. ТИЦ оснащается информационно-техническим оборудованием, которое обеспечивает телефонную (мобильную) связь, а также доступ к глобальной компьютерной сети Интернет.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12. ТИЦ осуществляет деятельность согласно режиму работы. Рабочий день начинается не позднее 8 часов и завершается не ранее 20 часов. Режим работы указывается на фасаде и (или) на входе в здание (помещение) ТИЦ.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13. Учредитель (собственник) ТИЦ может установить иной режим его работы в период повышенного спроса на туристические услуги, а также при проведении спортивных, спортивно-массовых, физкультурно-оздоровительных, культурных и иных массовых мероприятий.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14. На рабочем месте и на бейдже работника ТИЦ указывается информация о занимаемой должности служащего, его фамилии, собственном имени, отчестве (если таковое имеется) на русском или белорусском языке с дублированием текста на иностранном языке.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15. В ТИЦ обеспечивается наличие бесплатных туристических информационных материалов для изучения туристами, экскурсантами, в том числе на иностранных языках, в виде печатной продукции (информационные буклеты, брошюры и прочие материалы) или с использованием информационных </w:t>
      </w:r>
      <w:r>
        <w:lastRenderedPageBreak/>
        <w:t>технологий.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16. В обозримом месте в ТИЦ размещается информация о контактных телефонах экстренных служб, дипломатических представительств и консульских учреждений зарубежных стран в Республике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17. Доступность ТИЦ для инвалидов обеспечивается в соответствии с Правилами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утвержденными постановлением Совета Министров Республики Беларусь от 21 ноября 2022 г. N 796.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000000">
      <w:pPr>
        <w:pStyle w:val="ConsPlusNormal"/>
        <w:jc w:val="center"/>
      </w:pPr>
      <w:r>
        <w:rPr>
          <w:b/>
          <w:bCs/>
        </w:rPr>
        <w:t>ПОРЯДОК УЧЕТА ТИЦ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18. Учет ТИЦ осуществляется Министерством спорта и туризма или уполномоченной им государственной организацией (далее, если не указано иное, - уполномоченный орган).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Финансирование расходов на формирование и ведение базы данных по учету ТИЦ осуществляется в пределах средств республиканского бюджета, предусматриваемых на указанные цели Министерству спорта и туризма (государственному учреждению "Национальное агентство по туризму") на очередной финансовый год.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19. Учет ТИЦ осуществляется в электронном виде.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" w:name="Par143"/>
      <w:bookmarkEnd w:id="1"/>
      <w:r>
        <w:t>20. Учет ТИЦ включает информацию: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наименовании и организационно-правовой форме ТИЦ (наименовании и организационно-правовой форме юридического лица, если ТИЦ является его филиалом (иным обособленным подразделением);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местонахождении ТИЦ;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фамилии, собственном имени, отчестве (если таковое имеется) либо наименовании (фирменном наименовании) учредителя (собственника) ТИЦ, его контактных данных (номер телефона, адрес электронной почты) - для ТИЦ, являющихся юридическими лицами;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контактных данных ТИЦ (номера телефонов, адреса электронной почты и официального сайта в глобальной компьютерной сети Интернет (при их наличии);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фамилии, собственном имени, отчестве (если таковое имеется) руководителя ТИЦ, его контактных данных (номер телефона, адрес электронной почты);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количестве работников ТИЦ и режиме его работы;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туристических ресурсах на территории области, г. Минска;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иную информацию, ориентированную на участников и субъектов туристической деятельности (при наличии такой информации).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Информация, предусмотренная в части первой настоящего пункта, размещается на официальном сайте уполномоченного органа в глобальной компьютерной сети Интернет.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21. Информация о ТИЦ предоставляется главными управлениями (управлениями) спорта и туризма облисполкомов, Минского горисполкома (далее - управления спорта и туризма) в уполномоченный орган не позднее 15-го числа месяца, следующего за истекшим полугодием, по форме согласно приложению 2.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22. Уполномоченный орган: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осуществляет взаимодействие с управлениями спорта и туризма в части учета ТИЦ;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поддерживает в актуальном состоянии информацию о ТИЦ;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 позднее 25-го числа месяца, следующего за истекшим полугодием, размещает информацию, предусмотренную в части первой пункта 20 настоящего Положения, на своем официальном сайте в глобальной компьютерной сети Интернет;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принимает меры по защите информации при ведении учета ТИЦ с учетом требований законодательства об информации, информатизации и защите информации, а также законодательства о персональных данных;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 реже одного раза в полугодие во взаимодействии с управлениями спорта и туризма производит обновление информации о ТИЦ.</w:t>
      </w: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jc w:val="right"/>
        <w:outlineLvl w:val="1"/>
      </w:pPr>
      <w:r>
        <w:t>Приложение 1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создания и функционирования</w:t>
      </w:r>
    </w:p>
    <w:p w:rsidR="00000000" w:rsidRDefault="00000000">
      <w:pPr>
        <w:pStyle w:val="ConsPlusNormal"/>
        <w:jc w:val="right"/>
      </w:pPr>
      <w:r>
        <w:t>туристических информационных</w:t>
      </w:r>
    </w:p>
    <w:p w:rsidR="00000000" w:rsidRDefault="00000000">
      <w:pPr>
        <w:pStyle w:val="ConsPlusNormal"/>
        <w:jc w:val="right"/>
      </w:pPr>
      <w:r>
        <w:t>центров, а также их учета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2" w:name="Par171"/>
      <w:bookmarkEnd w:id="2"/>
      <w:r>
        <w:t>НОРМАТИВЫ</w:t>
      </w:r>
    </w:p>
    <w:p w:rsidR="00000000" w:rsidRDefault="00000000">
      <w:pPr>
        <w:pStyle w:val="ConsPlusTitle"/>
        <w:jc w:val="center"/>
      </w:pPr>
      <w:r>
        <w:t>ШТАТНОЙ ЧИСЛЕННОСТИ ТИЦ В ФОРМЕ ГОСУДАРСТВЕННЫХ УЧРЕЖДЕНИЙ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Для ТИЦ, расположенных в г. Минске и других административных центрах областей, - не более девяти штатных единиц.</w:t>
      </w:r>
    </w:p>
    <w:p w:rsidR="00000000" w:rsidRDefault="00000000">
      <w:pPr>
        <w:pStyle w:val="ConsPlusNormal"/>
        <w:jc w:val="both"/>
      </w:pPr>
      <w:r>
        <w:t>(п. 1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Для ТИЦ, расположенного в населенном пункте с численностью населения свыше 80 000 человек (за исключением г. Минска и других административных центров областей), - не более пяти штатных единиц.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Для ТИЦ, расположенного в административном центре района (за исключением г. Минска и других административных центров областей), - не более трех штатных единиц.</w:t>
      </w: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jc w:val="right"/>
        <w:outlineLvl w:val="1"/>
      </w:pPr>
      <w:r>
        <w:t>Приложение 2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создания и функционирования</w:t>
      </w:r>
    </w:p>
    <w:p w:rsidR="00000000" w:rsidRDefault="00000000">
      <w:pPr>
        <w:pStyle w:val="ConsPlusNormal"/>
        <w:jc w:val="right"/>
      </w:pPr>
      <w:r>
        <w:t>туристических информационных</w:t>
      </w:r>
    </w:p>
    <w:p w:rsidR="00000000" w:rsidRDefault="00000000">
      <w:pPr>
        <w:pStyle w:val="ConsPlusNormal"/>
        <w:jc w:val="right"/>
      </w:pPr>
      <w:r>
        <w:t>центров, а также их учета</w:t>
      </w: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jc w:val="right"/>
      </w:pPr>
      <w:bookmarkStart w:id="3" w:name="Par190"/>
      <w:bookmarkEnd w:id="3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</w:pPr>
      <w:r>
        <w:rPr>
          <w:b/>
          <w:bCs/>
        </w:rPr>
        <w:t>Информация о ТИЦ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5"/>
        <w:gridCol w:w="2505"/>
        <w:gridCol w:w="3165"/>
        <w:gridCol w:w="1755"/>
        <w:gridCol w:w="2445"/>
        <w:gridCol w:w="1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lastRenderedPageBreak/>
              <w:t>Наименование, организационно-правовая форма ТИЦ (наименование и организационно-правовая форма юридического лица, если ТИЦ является его филиалом (иным обособленным подразделением)</w:t>
            </w:r>
          </w:p>
        </w:tc>
        <w:tc>
          <w:tcPr>
            <w:tcW w:w="250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Местонахождение ТИЦ, контактные данные ТИЦ (номера телефонов, адреса электронной почты и официального сайта в глобальной компьютерной сети Интернет (при их наличии)</w:t>
            </w:r>
          </w:p>
        </w:tc>
        <w:tc>
          <w:tcPr>
            <w:tcW w:w="316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Учредитель (собственник) ТИЦ (фамилия, собственное имя, отчество (если таковое имеется) либо наименование (фирменное наименование), контактные данные (номер телефона, адрес электронной почты)</w:t>
            </w:r>
          </w:p>
        </w:tc>
        <w:tc>
          <w:tcPr>
            <w:tcW w:w="175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Количество работников ТИЦ, режим работы ТИЦ</w:t>
            </w:r>
          </w:p>
        </w:tc>
        <w:tc>
          <w:tcPr>
            <w:tcW w:w="2445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Туристические ресурсы на территории соответствующей административно-территориальной единицы</w:t>
            </w:r>
          </w:p>
        </w:tc>
        <w:tc>
          <w:tcPr>
            <w:tcW w:w="174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Иная информация о ТИЦ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316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244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</w:tr>
    </w:tbl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  <w:outlineLvl w:val="1"/>
      </w:pPr>
      <w:r>
        <w:t>Приложение 3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создания и функционирования</w:t>
      </w:r>
    </w:p>
    <w:p w:rsidR="00000000" w:rsidRDefault="00000000">
      <w:pPr>
        <w:pStyle w:val="ConsPlusNormal"/>
        <w:jc w:val="right"/>
      </w:pPr>
      <w:r>
        <w:t>туристических информационных</w:t>
      </w:r>
    </w:p>
    <w:p w:rsidR="00000000" w:rsidRDefault="00000000">
      <w:pPr>
        <w:pStyle w:val="ConsPlusNormal"/>
        <w:jc w:val="right"/>
      </w:pPr>
      <w:r>
        <w:t>центров, а также их учета</w:t>
      </w:r>
    </w:p>
    <w:p w:rsidR="00000000" w:rsidRDefault="00000000">
      <w:pPr>
        <w:pStyle w:val="ConsPlusNormal"/>
        <w:jc w:val="right"/>
      </w:pPr>
      <w:r>
        <w:t>(в редакции постановления</w:t>
      </w:r>
    </w:p>
    <w:p w:rsidR="00000000" w:rsidRDefault="00000000">
      <w:pPr>
        <w:pStyle w:val="ConsPlusNormal"/>
        <w:jc w:val="right"/>
      </w:pPr>
      <w:r>
        <w:t>Совета Министров</w:t>
      </w:r>
    </w:p>
    <w:p w:rsidR="00000000" w:rsidRDefault="00000000">
      <w:pPr>
        <w:pStyle w:val="ConsPlusNormal"/>
        <w:jc w:val="right"/>
      </w:pPr>
      <w:r>
        <w:t>Республики Беларусь</w:t>
      </w:r>
    </w:p>
    <w:p w:rsidR="00000000" w:rsidRDefault="00000000">
      <w:pPr>
        <w:pStyle w:val="ConsPlusNormal"/>
        <w:jc w:val="right"/>
      </w:pPr>
      <w:r>
        <w:t>08.07.2024 N 483)</w:t>
      </w:r>
    </w:p>
    <w:p w:rsidR="00000000" w:rsidRDefault="00000000">
      <w:pPr>
        <w:pStyle w:val="ConsPlusNormal"/>
        <w:jc w:val="center"/>
      </w:pPr>
      <w:r>
        <w:t>(введено постановлением Совмина от 08.07.2024 N 483)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4" w:name="Par222"/>
      <w:bookmarkEnd w:id="4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nformat"/>
        <w:jc w:val="both"/>
      </w:pPr>
      <w:r>
        <w:rPr>
          <w:b/>
          <w:bCs/>
        </w:rPr>
        <w:t>ЖУРНАЛ</w:t>
      </w:r>
    </w:p>
    <w:p w:rsidR="00000000" w:rsidRDefault="00000000">
      <w:pPr>
        <w:pStyle w:val="ConsPlusNonformat"/>
        <w:jc w:val="both"/>
      </w:pPr>
      <w:r>
        <w:rPr>
          <w:b/>
          <w:bCs/>
        </w:rPr>
        <w:t>учета посетителей ТИЦ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(наименование ТИЦ)</w:t>
      </w:r>
    </w:p>
    <w:p w:rsidR="00000000" w:rsidRDefault="00000000">
      <w:pPr>
        <w:pStyle w:val="ConsPlusNonformat"/>
        <w:jc w:val="both"/>
      </w:pPr>
      <w:r>
        <w:t xml:space="preserve">          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(адрес места нахождения ТИЦ)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500"/>
        <w:gridCol w:w="1665"/>
        <w:gridCol w:w="1110"/>
        <w:gridCol w:w="630"/>
        <w:gridCol w:w="1710"/>
        <w:gridCol w:w="1485"/>
        <w:gridCol w:w="20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Дата посещения ТИЦ, время прихода и ухода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Фамилия, собственное имя, отчество (если таковое имеется) посетителя ТИЦ &lt;*&gt;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Пол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Страна (населенный пункт) постоянного пребывания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Цель посещения ТИЦ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Интересующие вопросы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5" w:name="Par250"/>
      <w:bookmarkEnd w:id="5"/>
      <w:r>
        <w:t>&lt;*&gt; С согласия посетителя ТИЦ.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4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создания и функционирования</w:t>
      </w:r>
    </w:p>
    <w:p w:rsidR="00000000" w:rsidRDefault="00000000">
      <w:pPr>
        <w:pStyle w:val="ConsPlusNormal"/>
        <w:jc w:val="right"/>
      </w:pPr>
      <w:r>
        <w:t>туристических информационных</w:t>
      </w:r>
    </w:p>
    <w:p w:rsidR="00000000" w:rsidRDefault="00000000">
      <w:pPr>
        <w:pStyle w:val="ConsPlusNormal"/>
        <w:jc w:val="right"/>
      </w:pPr>
      <w:r>
        <w:t>центров, а также их учета</w:t>
      </w:r>
    </w:p>
    <w:p w:rsidR="00000000" w:rsidRDefault="00000000">
      <w:pPr>
        <w:pStyle w:val="ConsPlusNormal"/>
        <w:jc w:val="right"/>
      </w:pPr>
      <w:r>
        <w:t>(в редакции постановления</w:t>
      </w:r>
    </w:p>
    <w:p w:rsidR="00000000" w:rsidRDefault="00000000">
      <w:pPr>
        <w:pStyle w:val="ConsPlusNormal"/>
        <w:jc w:val="right"/>
      </w:pPr>
      <w:r>
        <w:t>Совета Министров</w:t>
      </w:r>
    </w:p>
    <w:p w:rsidR="00000000" w:rsidRDefault="00000000">
      <w:pPr>
        <w:pStyle w:val="ConsPlusNormal"/>
        <w:jc w:val="right"/>
      </w:pPr>
      <w:r>
        <w:t>Республики Беларусь</w:t>
      </w:r>
    </w:p>
    <w:p w:rsidR="00000000" w:rsidRDefault="00000000">
      <w:pPr>
        <w:pStyle w:val="ConsPlusNormal"/>
        <w:jc w:val="right"/>
      </w:pPr>
      <w:r>
        <w:t>08.07.2024 N 483)</w:t>
      </w:r>
    </w:p>
    <w:p w:rsidR="00000000" w:rsidRDefault="00000000">
      <w:pPr>
        <w:pStyle w:val="ConsPlusNormal"/>
        <w:jc w:val="center"/>
      </w:pPr>
      <w:r>
        <w:t>(введено постановлением Совмина от 08.07.2024 N 483)</w:t>
      </w:r>
    </w:p>
    <w:p w:rsidR="00000000" w:rsidRDefault="00000000">
      <w:pPr>
        <w:pStyle w:val="ConsPlusNormal"/>
        <w:jc w:val="right"/>
      </w:pPr>
    </w:p>
    <w:p w:rsidR="00000000" w:rsidRDefault="00000000">
      <w:pPr>
        <w:pStyle w:val="ConsPlusNormal"/>
        <w:jc w:val="right"/>
      </w:pPr>
      <w:bookmarkStart w:id="6" w:name="Par267"/>
      <w:bookmarkEnd w:id="6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nformat"/>
        <w:jc w:val="both"/>
      </w:pPr>
      <w:r>
        <w:rPr>
          <w:b/>
          <w:bCs/>
        </w:rPr>
        <w:t>ЖУРНАЛ</w:t>
      </w:r>
    </w:p>
    <w:p w:rsidR="00000000" w:rsidRDefault="00000000">
      <w:pPr>
        <w:pStyle w:val="ConsPlusNonformat"/>
        <w:jc w:val="both"/>
      </w:pPr>
      <w:r>
        <w:rPr>
          <w:b/>
          <w:bCs/>
        </w:rPr>
        <w:t>учета мероприятий, проводимых ТИЦ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(наименование ТИЦ)</w:t>
      </w:r>
    </w:p>
    <w:p w:rsidR="00000000" w:rsidRDefault="00000000">
      <w:pPr>
        <w:pStyle w:val="ConsPlusNonformat"/>
        <w:jc w:val="both"/>
      </w:pPr>
      <w:r>
        <w:t xml:space="preserve">          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(адрес места нахождения ТИЦ)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50"/>
        <w:gridCol w:w="1740"/>
        <w:gridCol w:w="1740"/>
        <w:gridCol w:w="1740"/>
        <w:gridCol w:w="175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Дата и место проведения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Количество участников мероприятия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Источники освещения мероприятия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Иная информация о мероприятии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07.12.2022 N 839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7" w:name="Par300"/>
      <w:bookmarkEnd w:id="7"/>
      <w:r>
        <w:t>ПОЛОЖЕНИЕ</w:t>
      </w:r>
    </w:p>
    <w:p w:rsidR="00000000" w:rsidRDefault="00000000">
      <w:pPr>
        <w:pStyle w:val="ConsPlusTitle"/>
        <w:jc w:val="center"/>
      </w:pPr>
      <w:r>
        <w:t>О ПОРЯДКЕ СОЗДАНИЯ ТУРИСТИЧЕСКИХ ЗОН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Настоящим Положением определяется порядок создания туристических зон на территории Республики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Для целей настоящего Положения используются основные термины и их определения в значениях, установленных в пункте 1 статьи 1 Закона Республики Беларусь "О туризме".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Туристические зоны создаются с учетом предложений местных исполнительных и распорядительных органов, иных юридических лиц, физических лиц, в том числе индивидуальных предпринимателей. Сбор предложений по созданию туристических зон осуществляет Министерство спорта и туризма.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8" w:name="Par306"/>
      <w:bookmarkEnd w:id="8"/>
      <w:r>
        <w:t xml:space="preserve">4. Предложение о создании туристической зоны направляется в Министерство спорта и туризма в </w:t>
      </w:r>
      <w:r>
        <w:lastRenderedPageBreak/>
        <w:t>письменной форме или в виде электронного документа с приложением документов, указанных в пункте 5 настоящего Положения.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9" w:name="Par307"/>
      <w:bookmarkEnd w:id="9"/>
      <w:r>
        <w:t>5. К предложению о создании туристической зоны, направляемому в Министерство спорта и туризма, прилагаются научное и технико-экономическое обоснование в форме пояснительной записки и картографические материалы проекта границ туристической зоны, определяющие: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точное описание границ, план территории, площадь и название туристической зоны;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технико-экономическое обоснование и цели создания туристической зоны;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перечень туристических ресурсов на территории, планируемой к созданию туристической зоны;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план мероприятий по развитию и функционированию туристической зоны, поддержке туристической индустрии, развитию внутреннего туризма и международного въездного туризма, одного или нескольких видов туризма, охране и рациональному использованию туристических ресурсов.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 Министерство спорта и туризма на основании полученных материалов в течение 45 календарных дней со дня, следующего за днем их получения: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0" w:name="Par313"/>
      <w:bookmarkEnd w:id="10"/>
      <w:r>
        <w:t>6.1. проводит анализ полученных материалов и готовит заключение о целесообразности и эффективности создания туристической зоны;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1" w:name="Par314"/>
      <w:bookmarkEnd w:id="11"/>
      <w:r>
        <w:t>6.2. получает на основании письменного запроса или запроса в виде электронного документа заключение местного исполнительного и распорядительного органа, на территории которого предлагается создать туристическую зону, о целесообразности и эффективности ее создания;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2" w:name="Par315"/>
      <w:bookmarkEnd w:id="12"/>
      <w:r>
        <w:t>6.3. согласовывает заключения, указанные в подпунктах 6.1 и 6.2 настоящего пункта, с Министерством архитектуры и строительства, Министерством культуры, Государственным комитетом по имуществу, Управлением делами Президента Республики Беларусь и другими заинтересованными государственными органами;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6.4. подготавливает предложение о создании туристической зоны в виде проекта постановления Совета Министров Республики Беларусь и согласовывает его с заинтересованными государственными органами.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Предложение о создании туристической зоны с приложением документов, указанных в пунктах 4 и 5, подпунктах 6.1 - 6.3 пункта 6 настоящего Положения, вносится Министерством спорта и туризма на рассмотрение в Совет Министров Республики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Совет Министров Республики Беларусь принимает решение о создании туристической зоны в форме постановления в соответствии с пунктом 2 статьи 15 Закона Республики Беларусь "О туризме".</w:t>
      </w:r>
    </w:p>
    <w:p w:rsidR="00000000" w:rsidRDefault="00000000">
      <w:pPr>
        <w:pStyle w:val="ConsPlusNormal"/>
        <w:ind w:firstLine="540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0247" w:rsidRDefault="000D0247">
      <w:pPr>
        <w:pStyle w:val="ConsPlusNormal"/>
        <w:rPr>
          <w:sz w:val="16"/>
          <w:szCs w:val="16"/>
        </w:rPr>
      </w:pPr>
    </w:p>
    <w:sectPr w:rsidR="000D024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AEA"/>
    <w:rsid w:val="000D0247"/>
    <w:rsid w:val="005D0DE6"/>
    <w:rsid w:val="0066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4161A4-B86A-4B93-A514-9A61111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3518</Words>
  <Characters>20055</Characters>
  <Application>Microsoft Office Word</Application>
  <DocSecurity>2</DocSecurity>
  <Lines>167</Lines>
  <Paragraphs>47</Paragraphs>
  <ScaleCrop>false</ScaleCrop>
  <Company>КонсультантПлюс Версия 4022.00.55</Company>
  <LinksUpToDate>false</LinksUpToDate>
  <CharactersWithSpaces>23526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2025-04-11T11:49:00Z</dcterms:created>
  <dcterms:modified xsi:type="dcterms:W3CDTF">2025-04-11T11:49:00Z</dcterms:modified>
</cp:coreProperties>
</file>