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проведения прививок. Показания и противопоказания.</w:t>
      </w:r>
      <w:bookmarkStart w:id="0" w:name="_GoBack"/>
      <w:bookmarkEnd w:id="0"/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Профилактические прививки проводятся в целях предупреждения, снижения уровня и ликвидации инфекционных заболеваний.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Плановые профилактические прививки проводятся в определенные сроки жизни человека независимо от эпидемической обстановки для создания специфической невосприимчивости организма (иммунитета) человека к соответствующим инфекционным заболеваниям.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Кроме плановых профилактических прививок в Республике Беларусь проводятся прививки по эпидемическим показаниям: против бешенства, бруцеллеза, ветряной оспы, вирусного гепатита</w:t>
      </w:r>
      <w:proofErr w:type="gram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А</w:t>
      </w:r>
      <w:proofErr w:type="gram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, вирусного гепатита В, дифтерии, желтой лихорадки, клещевого энцефалита, коклюша, кори, краснухи, лептоспироза, полиомиелита, сибирской язвы, туляремии, чумы, эпидемического паротита и др.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Профилактические прививки проводятся строго в организациях здравоохранения. Информация о проведении профилактической прививки вносится в медицинскую карту пациента.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 соответствии со ст.44. Закона Республики Беларусь «О здравоохранении» необходимым условием проведения профилактических прививок является наличие предварительного  согласия пациента (для несовершеннолетнего пациента – его родителя или законного представителя). Пациент должен быть ознакомлен с прогнозируемыми результатами и возможными рисками.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Согласие на проведение профилактических прививок дается устно, так как вакцинация, проводимая внутримышечно, подкожно или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внутрикожно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, относится к перечню простых медицинских вмешательств (постановление Министерства здравоохранения Республики Беларусь от 31.05.2011г. N 49 "Об установлении перечня простых медицинских вмешательств").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 соответствии со ст.45 Закона Республики Беларусь «О здравоохранении» пациент имеет право отказаться от проведения профилактических прививок. Отказ оформляется записью в медицинской документации и подписывается пациентом и лечащим врачом.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Профилактические прививки проводят медицинские работники, обученные технике выполнения прививок, а также оказанию первой медицинской помощи в случае развития поствакцинальных осложнений и реакций. При наличии врача-терапевта (педиатра) профилактические прививки могут проводиться по согласованию с территориальным центром гигиены и эпидемиологии в специально оборудованных кабинетах по месту работы, учебы, фельдшерско-акушерских пунктах при возможности соблюдения в них в полном объеме правил асептики.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lastRenderedPageBreak/>
        <w:t>Проведение профилактических прививок на фельдшерско-акушерских пунктах, здравпунктах средним медицинским персоналом без врачебного осмотра запрещается.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Прививки против туберкулеза и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туберкулинодиагностику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проводит специально обученный средний медицинский персонал, имеющий справку-допуск из противотуберкулезного диспансера к проведению иммунизации с использованием БЦЖ (БЦЖ-М) и постановке пробы Манту.</w:t>
      </w:r>
    </w:p>
    <w:p w:rsidR="00F61C76" w:rsidRPr="00F61C76" w:rsidRDefault="00F61C76" w:rsidP="00F61C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Порядок проведения прививок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Для обеспечения своевременного проведения профилактических прививок медицинский работник педиатрического (терапевтического) участка в устной или письменной форме приглашает в медицинское учреждение лиц, подлежащих прививкам (родителей детей или лиц их заменяющих);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в детском учреждении образования – предварительно информирует и получает согласие родителей на проведение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профпрививок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их детям, вносит запись об устном согласии на вакцинацию.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Врач должен проинформировать пациента об инфекционном заболевании, против которого будет проводиться прививка, свойствах вакцинного препарата, возможных поствакцинальных реакциях и действиях в случае их возникновения.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Врач-педиатр (терапевт) дает разрешение на прививку в письменном виде. С этой целью и для исключения острого заболевания непосредственно перед прививкой врачом проводится медицинский осмотр пациента, включающий: термометрию, измерение частоты дыхания, пульса, опрос на наличие жалоб, объективный осмотр органов и систем. При этом следует учитывать анамнестические данные (предшествующие заболевания, реакции на прививки, наличие аллергических реакций на лекарственные препараты, пищевые продукты). С целью предупреждения поствакцинальных реакций и осложнений у лиц с наличием отклонений в состоянии здоровья необходимо использовать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предвакцинальную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медикаментозную подготовку.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Запись о выполненной прививке делается в медицинской документации. Запись заверяется лицом, сделавшим прививку.</w:t>
      </w:r>
    </w:p>
    <w:p w:rsidR="00F61C76" w:rsidRPr="00F61C76" w:rsidRDefault="00F61C76" w:rsidP="00F61C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Наблюдение за привитыми лицами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 организации здравоохранения после проведенной прививки  с целью оказания медицинской помощи в случае развития немедленных аллергических реакций должно быть обеспечено медицинское наблюдение за привитым лицом в течение первых 30 минут (если инструкцией к препарату не предусмотрено иное время).</w:t>
      </w:r>
    </w:p>
    <w:p w:rsidR="00F61C76" w:rsidRPr="00F61C76" w:rsidRDefault="00F61C76" w:rsidP="00F61C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Медицинские противопоказания к проведению прививок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lastRenderedPageBreak/>
        <w:t>Медицинские противопоказания к вакцинации могут устанавливаться как временные (до одного месяца) – в связи с острой респираторной инфекцией, при наличии температуры, так и длительные (от 1 до 3 месяцев)  – при наличии обострения некоторых хронических заболеваний и постоянные (1 год и более) – в связи противопоказаниями, установленными в инструкции к применению вакцины. Решение об установлении или отмене временного медицинского противопоказания принимает врач-педиатр (терапевт). Решение об установлении, продлении или отмене длительного и постоянного медицинского противопоказания принимает иммунологическая комиссия, которая утверждается приказом главного врача организации здравоохранения.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Противопоказанием (постоянным) ко всем вакцинам является осложнение на введение предыдущей дозы препарата (анафилактический шок,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развившийся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в течение 24 часов после прививки, немедленные аллергические реакции, энцефалит или энцефалопатия,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афебрильные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судороги).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Острые инфекционные и неинфекционные заболевания, обострение хронических заболеваний являются временными противопоказаниями для проведения прививок. Плановые прививки проводят после исчезновения острых проявлений заболевания и достижения полной или максимальной возможной ремиссии, в том числе на фоне поддерживающего лечения (кроме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иммуносупрессивного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).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Прививки по эпидемическим показаниям могут проводиться на фоне легкого течения ОРВИ, ОКИ, в отсутствии ремиссии на фоне активной терапии по решению врача-педиатра (терапевта). Основанием для принятия решения является сопоставление риска возникновения инфекционного заболевания и его осложнений, обострения хронического заболевания с риском осложнений после вакцинации.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Детям, не привитым в установленные сроки в связи с медицинскими противопоказаниями, прививки проводят по индивидуальной схеме согласно рекомендациям врача-педиатра или других специалистов.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При возникновении инфекционного заболевания в организованном коллективе, домашнем очаге возможность проведения иммунизации контактных лиц определяется врачом-эпидемиологом совместно с врачом-педиатром.</w:t>
      </w:r>
    </w:p>
    <w:p w:rsidR="00F61C76" w:rsidRPr="00F61C76" w:rsidRDefault="00F61C76" w:rsidP="00F61C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Побочные реакции и серьёзные побочные реакции на введение вакцин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Побочная реакция - непредвиденная отрицательная реакция организма человека, связанная с медицинским применением лекарственного средства в дозе, указанной в инструкции по применению и (или) листке-вкладыше. </w:t>
      </w:r>
    </w:p>
    <w:p w:rsidR="00F61C76" w:rsidRPr="00F61C76" w:rsidRDefault="00F61C76" w:rsidP="00F61C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Неожиданная побочная реакция - побочная реакция, характер или тяжесть которой не согласуется с имеющейся информацией о лекарственном средстве, указанной в инструкции по медицинскому применению и (или) листке-вкладыше или программе (протоколе) </w:t>
      </w: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lastRenderedPageBreak/>
        <w:t>клинических испытаний. </w:t>
      </w:r>
      <w:r w:rsidRPr="00F61C76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  <w:proofErr w:type="gram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Серьезные побочные реакции - побочные реакции, которые вне зависимости от принимаемой дозы лекарственного средства приводят к смерти, или представляют угрозу для жизни, или требуют оказания медицинской помощи в стационарных условиях, или приводят к стойким либо выраженным ограничениям жизнеспособности (инвалидности), к врожденной аномалии (пороку развития), или требуют медицинского вмешательства для предотвращения развития перечисленных состояний.</w:t>
      </w:r>
      <w:proofErr w:type="gram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Серьёзные побочные </w:t>
      </w:r>
      <w:proofErr w:type="gram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реакции</w:t>
      </w:r>
      <w:proofErr w:type="gram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как правило связаны:</w:t>
      </w:r>
    </w:p>
    <w:p w:rsidR="00F61C76" w:rsidRPr="00F61C76" w:rsidRDefault="00F61C76" w:rsidP="00F61C76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нарушением медицинских противопоказаний;</w:t>
      </w:r>
    </w:p>
    <w:p w:rsidR="00F61C76" w:rsidRPr="00F61C76" w:rsidRDefault="00F61C76" w:rsidP="00F61C76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нарушением техники вакцинации;</w:t>
      </w:r>
    </w:p>
    <w:p w:rsidR="00F61C76" w:rsidRPr="00F61C76" w:rsidRDefault="00F61C76" w:rsidP="00F61C76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качеством вакцин;</w:t>
      </w:r>
    </w:p>
    <w:p w:rsidR="00F61C76" w:rsidRPr="00F61C76" w:rsidRDefault="00F61C76" w:rsidP="00F61C76">
      <w:pPr>
        <w:numPr>
          <w:ilvl w:val="0"/>
          <w:numId w:val="1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индивидуальной реакцией пациента.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Основными заболеваниями, подлежащими регистрации и расследованию в поствакцинальном периоде, являются:</w:t>
      </w:r>
    </w:p>
    <w:p w:rsidR="00F61C76" w:rsidRPr="00F61C76" w:rsidRDefault="00F61C76" w:rsidP="00F61C76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анафилактический шок; тяжелые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генерализованные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аллергические реакции (рецидивирующий ангионевротический отек – отек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Квинке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синдром Стивена-Джонсона, синдром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Лайела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др.);</w:t>
      </w:r>
    </w:p>
    <w:p w:rsidR="00F61C76" w:rsidRPr="00F61C76" w:rsidRDefault="00F61C76" w:rsidP="00F61C76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синдром сывороточной болезни;</w:t>
      </w:r>
    </w:p>
    <w:p w:rsidR="00F61C76" w:rsidRPr="00F61C76" w:rsidRDefault="00F61C76" w:rsidP="00F61C76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энцефалит; другие поражения ЦНС с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генерализованными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локальными проявлениями (энцефалопатия, серозный менингит, полиневрит);</w:t>
      </w:r>
    </w:p>
    <w:p w:rsidR="00F61C76" w:rsidRPr="00F61C76" w:rsidRDefault="00F61C76" w:rsidP="00F61C76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резидуальные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судорожные состояния: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афебрильные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судороги (появившиеся после прививки при температуре ниже 38,5°C и отсутствовавшие до прививки), повторившиеся в течение первых 12 месяцев после прививки;</w:t>
      </w:r>
    </w:p>
    <w:p w:rsidR="00F61C76" w:rsidRPr="00F61C76" w:rsidRDefault="00F61C76" w:rsidP="00F61C76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вакциноассоциированный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полиомиелит;</w:t>
      </w:r>
    </w:p>
    <w:p w:rsidR="00F61C76" w:rsidRPr="00F61C76" w:rsidRDefault="00F61C76" w:rsidP="00F61C76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миокардит, нефрит, тромбоцитопеническая пурпура,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агранулоцитоз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гипопластическая анемия, коллагенозы, абсцесс в месте введения, внезапная смерть, другие случаи летальных исходов, имеющие временную связь с прививкой;</w:t>
      </w:r>
    </w:p>
    <w:p w:rsidR="00F61C76" w:rsidRPr="00F61C76" w:rsidRDefault="00F61C76" w:rsidP="00F61C76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лимфаденит, в т.ч. регионарный, келоидный рубец, остеит и др.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генерализованные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формы заболевания.</w:t>
      </w:r>
    </w:p>
    <w:p w:rsidR="00F61C76" w:rsidRPr="00F61C76" w:rsidRDefault="00F61C76" w:rsidP="00F61C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Обеспечение безопасности иммунизации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 В 1999 году ВОЗ был создан Глобальный консультативный комитет по безопасности вакцин (ГККБВ) для оперативного, эффективного и научно обоснованного реагирования по вопросам безопасности вакцин, имеющим глобальное значение. Так, экспертами ГККБВ была опровергнута связь вакцинации против коклюша с развитием энцефалита, синдрома внезапной смерти с АКДС-вакциной, аутизма и вакцины против кори,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эпидпаротита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и краснухи, рассеянного склероза и вакцинации против гепатита В.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В Республике Беларусь вакцина перед использованием:</w:t>
      </w:r>
    </w:p>
    <w:p w:rsidR="00F61C76" w:rsidRPr="00F61C76" w:rsidRDefault="00F61C76" w:rsidP="00F61C76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проходит государственную регистрацию с проведением лабораторных исследований;</w:t>
      </w:r>
    </w:p>
    <w:p w:rsidR="00F61C76" w:rsidRPr="00F61C76" w:rsidRDefault="00F61C76" w:rsidP="00F61C76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каждая партия вакцин, поступающая на территорию РБ, проходит входной лабораторный контроль;</w:t>
      </w:r>
    </w:p>
    <w:p w:rsidR="00F61C76" w:rsidRPr="00F61C76" w:rsidRDefault="00F61C76" w:rsidP="00F61C76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осуществляется </w:t>
      </w:r>
      <w:proofErr w:type="gram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соблюдением «холодовой цепи» при транспортировке и использовании вакцин;</w:t>
      </w:r>
    </w:p>
    <w:p w:rsidR="00F61C76" w:rsidRPr="00F61C76" w:rsidRDefault="00F61C76" w:rsidP="00F61C76">
      <w:pPr>
        <w:numPr>
          <w:ilvl w:val="0"/>
          <w:numId w:val="3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функционирует система мониторинга серьёзных побочных реакций, с 2008 года – проводится мониторинг побочных реакций и серьёзных побочных реакций. Серьёзные побочные реакции встречаются крайне редко: за всю историю применения вакцинации в Республике Беларусь регистрировались единичные случаи. Так, в Республике Беларусь в 2014 году частота осложнений была 0,001% от числа проведенных профилактических прививок (в основном после БЦЖ иммунизации). </w:t>
      </w:r>
      <w:proofErr w:type="gram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Летальные случаи, связанные с вакцинацией в республике за последние 30 лет не регистрировались.</w:t>
      </w:r>
      <w:proofErr w:type="gramEnd"/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Расследование причин серьёзных побочных реакций осуществляется комиссией, назначенной управлением здравоохранения облисполкома или комитетом по здравоохранению Минского горисполкома. Каждый случай состояния (заболевания), </w:t>
      </w:r>
      <w:proofErr w:type="spell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развившегося</w:t>
      </w:r>
      <w:proofErr w:type="spell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в поствакцинальном периоде и трактуемый как серьёзная побочная реакция, требует тщательной дифференциальной </w:t>
      </w:r>
      <w:proofErr w:type="gramStart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диагностики</w:t>
      </w:r>
      <w:proofErr w:type="gramEnd"/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 xml:space="preserve"> как с инфекционными, так и с неинфекционными заболеваниями.</w:t>
      </w:r>
    </w:p>
    <w:p w:rsidR="00F61C76" w:rsidRPr="00F61C76" w:rsidRDefault="00F61C76" w:rsidP="00F61C7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b/>
          <w:bCs/>
          <w:color w:val="4B4B4B"/>
          <w:sz w:val="21"/>
          <w:szCs w:val="21"/>
          <w:lang w:eastAsia="ru-RU"/>
        </w:rPr>
        <w:t>Успехи и достижения иммунопрофилактики в 21 веке:</w:t>
      </w:r>
    </w:p>
    <w:p w:rsidR="00F61C76" w:rsidRPr="00F61C76" w:rsidRDefault="00F61C76" w:rsidP="00F61C76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4B4B4B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4B4B4B"/>
          <w:sz w:val="21"/>
          <w:szCs w:val="21"/>
          <w:lang w:eastAsia="ru-RU"/>
        </w:rPr>
        <w:t>Благодаря эффективным программам вакцинации детского и взрослого населения отмечается значительное снижение многих инфекционных заболеваний в нашей стране:</w:t>
      </w:r>
    </w:p>
    <w:p w:rsidR="00F61C76" w:rsidRPr="00F61C76" w:rsidRDefault="00F61C76" w:rsidP="00F61C76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отсутствуют случаи полиомиелита, который раньше приводил к развитию уродств и инвалидности;</w:t>
      </w:r>
    </w:p>
    <w:p w:rsidR="00F61C76" w:rsidRPr="00F61C76" w:rsidRDefault="00F61C76" w:rsidP="00F61C76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заболеваемость краснухой снизилась в 43 000  раз (с 43 000  случаев в 1997году до 1 случая в 2014 году);</w:t>
      </w:r>
    </w:p>
    <w:p w:rsidR="00F61C76" w:rsidRPr="00F61C76" w:rsidRDefault="00F61C76" w:rsidP="00F61C76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заболеваемость корью снизилась более чем в 1 000 раз (в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допрививочный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 (до 1967 года) регистрировалось около 70 000  случаев в год, в 2014 году – 64 случая), заболеваемость корью была обусловлена 5 завозными случаями из стран, где регистрируется распространение кори: Российской Федерации, Польши, Грузии, Украины и Израиля (из числа зарегистрированных случаев кори 59 были связанны </w:t>
      </w:r>
      <w:proofErr w:type="gram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завозными);</w:t>
      </w:r>
    </w:p>
    <w:p w:rsidR="00F61C76" w:rsidRPr="00F61C76" w:rsidRDefault="00F61C76" w:rsidP="00F61C76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заболеваемость дифтерией – в </w:t>
      </w:r>
      <w:proofErr w:type="spell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допрививочным</w:t>
      </w:r>
      <w:proofErr w:type="spell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периоде (до 1957 года) регистрировалось 14 000  случаев, с 2012 года случаев не было;</w:t>
      </w:r>
    </w:p>
    <w:p w:rsidR="00F61C76" w:rsidRPr="00F61C76" w:rsidRDefault="00F61C76" w:rsidP="00F61C76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заболеваемость вирусным гепатитом</w:t>
      </w:r>
      <w:proofErr w:type="gramStart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 14 раз (с 1266 случаев в 1998г. до 93 – в 2014 году);</w:t>
      </w:r>
    </w:p>
    <w:p w:rsidR="00F61C76" w:rsidRPr="00F61C76" w:rsidRDefault="00F61C76" w:rsidP="00F61C76">
      <w:pPr>
        <w:numPr>
          <w:ilvl w:val="0"/>
          <w:numId w:val="4"/>
        </w:numPr>
        <w:shd w:val="clear" w:color="auto" w:fill="FFFFFF"/>
        <w:spacing w:after="15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61C76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заболеваемость столбняком - регистрировались единичные спорадические случаи столбняка, с 2011 года случаев не было.</w:t>
      </w:r>
    </w:p>
    <w:p w:rsidR="00445584" w:rsidRDefault="00445584"/>
    <w:sectPr w:rsidR="0044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95C"/>
    <w:multiLevelType w:val="multilevel"/>
    <w:tmpl w:val="0816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A1CB6"/>
    <w:multiLevelType w:val="multilevel"/>
    <w:tmpl w:val="580C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A2002"/>
    <w:multiLevelType w:val="multilevel"/>
    <w:tmpl w:val="3E2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31287"/>
    <w:multiLevelType w:val="multilevel"/>
    <w:tmpl w:val="E906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76"/>
    <w:rsid w:val="0002069F"/>
    <w:rsid w:val="00021174"/>
    <w:rsid w:val="00034970"/>
    <w:rsid w:val="00035F68"/>
    <w:rsid w:val="0003662F"/>
    <w:rsid w:val="00036C2C"/>
    <w:rsid w:val="00037990"/>
    <w:rsid w:val="00041210"/>
    <w:rsid w:val="000438C6"/>
    <w:rsid w:val="0004526C"/>
    <w:rsid w:val="00053FC5"/>
    <w:rsid w:val="000827BD"/>
    <w:rsid w:val="00094612"/>
    <w:rsid w:val="000B3622"/>
    <w:rsid w:val="000C1832"/>
    <w:rsid w:val="000D46F1"/>
    <w:rsid w:val="000D50B4"/>
    <w:rsid w:val="000E0DC3"/>
    <w:rsid w:val="000E609D"/>
    <w:rsid w:val="00106124"/>
    <w:rsid w:val="0011714D"/>
    <w:rsid w:val="001375CF"/>
    <w:rsid w:val="00146648"/>
    <w:rsid w:val="00155379"/>
    <w:rsid w:val="001751AD"/>
    <w:rsid w:val="00181533"/>
    <w:rsid w:val="001919E0"/>
    <w:rsid w:val="001C5DF5"/>
    <w:rsid w:val="001D57FE"/>
    <w:rsid w:val="00200C86"/>
    <w:rsid w:val="00207713"/>
    <w:rsid w:val="00211F18"/>
    <w:rsid w:val="0021599D"/>
    <w:rsid w:val="0021638E"/>
    <w:rsid w:val="00221942"/>
    <w:rsid w:val="002256CF"/>
    <w:rsid w:val="00233F26"/>
    <w:rsid w:val="00246415"/>
    <w:rsid w:val="002636EF"/>
    <w:rsid w:val="002776F1"/>
    <w:rsid w:val="002848EA"/>
    <w:rsid w:val="00294E52"/>
    <w:rsid w:val="002B132F"/>
    <w:rsid w:val="002C562E"/>
    <w:rsid w:val="002D0375"/>
    <w:rsid w:val="002E180E"/>
    <w:rsid w:val="002E1828"/>
    <w:rsid w:val="00345178"/>
    <w:rsid w:val="003467AF"/>
    <w:rsid w:val="00347AE3"/>
    <w:rsid w:val="003550FF"/>
    <w:rsid w:val="00362025"/>
    <w:rsid w:val="003805C6"/>
    <w:rsid w:val="00383CD4"/>
    <w:rsid w:val="00391B11"/>
    <w:rsid w:val="00391CEC"/>
    <w:rsid w:val="00392C6B"/>
    <w:rsid w:val="00397009"/>
    <w:rsid w:val="003A6BEC"/>
    <w:rsid w:val="003B700B"/>
    <w:rsid w:val="003E0A66"/>
    <w:rsid w:val="003F131A"/>
    <w:rsid w:val="003F3670"/>
    <w:rsid w:val="003F4102"/>
    <w:rsid w:val="004066B2"/>
    <w:rsid w:val="0041128E"/>
    <w:rsid w:val="00417071"/>
    <w:rsid w:val="00445584"/>
    <w:rsid w:val="00447699"/>
    <w:rsid w:val="004A0D9C"/>
    <w:rsid w:val="004A528B"/>
    <w:rsid w:val="004D4391"/>
    <w:rsid w:val="00500273"/>
    <w:rsid w:val="005430F6"/>
    <w:rsid w:val="005461E7"/>
    <w:rsid w:val="00555C95"/>
    <w:rsid w:val="005718CB"/>
    <w:rsid w:val="00571EA3"/>
    <w:rsid w:val="00594261"/>
    <w:rsid w:val="005B2408"/>
    <w:rsid w:val="005B7AAF"/>
    <w:rsid w:val="005E36DF"/>
    <w:rsid w:val="006010B2"/>
    <w:rsid w:val="00624CAD"/>
    <w:rsid w:val="0063234D"/>
    <w:rsid w:val="006419BC"/>
    <w:rsid w:val="00652CF0"/>
    <w:rsid w:val="006716E9"/>
    <w:rsid w:val="00681DC6"/>
    <w:rsid w:val="0068318E"/>
    <w:rsid w:val="00691CFA"/>
    <w:rsid w:val="006A14D4"/>
    <w:rsid w:val="006A35AA"/>
    <w:rsid w:val="006A6EC3"/>
    <w:rsid w:val="006B4CCC"/>
    <w:rsid w:val="006B617C"/>
    <w:rsid w:val="006B76D3"/>
    <w:rsid w:val="006C3FBD"/>
    <w:rsid w:val="006E2D22"/>
    <w:rsid w:val="00721B8F"/>
    <w:rsid w:val="00737C49"/>
    <w:rsid w:val="007608D2"/>
    <w:rsid w:val="007629C1"/>
    <w:rsid w:val="007642A5"/>
    <w:rsid w:val="00781451"/>
    <w:rsid w:val="007843A2"/>
    <w:rsid w:val="0079780F"/>
    <w:rsid w:val="007A69CA"/>
    <w:rsid w:val="007A6CED"/>
    <w:rsid w:val="007B0B01"/>
    <w:rsid w:val="007C206D"/>
    <w:rsid w:val="007E6D52"/>
    <w:rsid w:val="00804D87"/>
    <w:rsid w:val="0085701A"/>
    <w:rsid w:val="0086236E"/>
    <w:rsid w:val="00873F20"/>
    <w:rsid w:val="0088730A"/>
    <w:rsid w:val="008A6CA6"/>
    <w:rsid w:val="008B2DD1"/>
    <w:rsid w:val="008C5766"/>
    <w:rsid w:val="008D1B10"/>
    <w:rsid w:val="008D5F2E"/>
    <w:rsid w:val="008E4F1B"/>
    <w:rsid w:val="008E5246"/>
    <w:rsid w:val="008E5B37"/>
    <w:rsid w:val="008F0FCC"/>
    <w:rsid w:val="008F505E"/>
    <w:rsid w:val="009002B7"/>
    <w:rsid w:val="009233C7"/>
    <w:rsid w:val="00925513"/>
    <w:rsid w:val="009311E3"/>
    <w:rsid w:val="0094039C"/>
    <w:rsid w:val="00944DD4"/>
    <w:rsid w:val="00947C22"/>
    <w:rsid w:val="00966F85"/>
    <w:rsid w:val="00976A38"/>
    <w:rsid w:val="00980649"/>
    <w:rsid w:val="00981F37"/>
    <w:rsid w:val="0098359B"/>
    <w:rsid w:val="00983C87"/>
    <w:rsid w:val="009841C2"/>
    <w:rsid w:val="00984737"/>
    <w:rsid w:val="00990049"/>
    <w:rsid w:val="009C3FE4"/>
    <w:rsid w:val="009D68BF"/>
    <w:rsid w:val="009E56C4"/>
    <w:rsid w:val="00A04D25"/>
    <w:rsid w:val="00A14E98"/>
    <w:rsid w:val="00A34103"/>
    <w:rsid w:val="00A36D20"/>
    <w:rsid w:val="00A513E0"/>
    <w:rsid w:val="00A55F8B"/>
    <w:rsid w:val="00A616E1"/>
    <w:rsid w:val="00A633E2"/>
    <w:rsid w:val="00A75446"/>
    <w:rsid w:val="00A85CAB"/>
    <w:rsid w:val="00A90EBD"/>
    <w:rsid w:val="00A96100"/>
    <w:rsid w:val="00AA5281"/>
    <w:rsid w:val="00AA6996"/>
    <w:rsid w:val="00AB2032"/>
    <w:rsid w:val="00AE360E"/>
    <w:rsid w:val="00B0792E"/>
    <w:rsid w:val="00B15CB0"/>
    <w:rsid w:val="00B25704"/>
    <w:rsid w:val="00B269A9"/>
    <w:rsid w:val="00B364DD"/>
    <w:rsid w:val="00B47463"/>
    <w:rsid w:val="00B6657E"/>
    <w:rsid w:val="00B8724D"/>
    <w:rsid w:val="00B90028"/>
    <w:rsid w:val="00B917F8"/>
    <w:rsid w:val="00B95B72"/>
    <w:rsid w:val="00B95F73"/>
    <w:rsid w:val="00C10043"/>
    <w:rsid w:val="00C12288"/>
    <w:rsid w:val="00C161A3"/>
    <w:rsid w:val="00C4439D"/>
    <w:rsid w:val="00C65BC3"/>
    <w:rsid w:val="00C9208C"/>
    <w:rsid w:val="00C93DDA"/>
    <w:rsid w:val="00CA74BD"/>
    <w:rsid w:val="00CA7CE2"/>
    <w:rsid w:val="00CB6180"/>
    <w:rsid w:val="00CD590B"/>
    <w:rsid w:val="00CE0E2E"/>
    <w:rsid w:val="00CE0FD6"/>
    <w:rsid w:val="00CE4F6E"/>
    <w:rsid w:val="00CF006E"/>
    <w:rsid w:val="00D036CC"/>
    <w:rsid w:val="00D175CD"/>
    <w:rsid w:val="00D46FD4"/>
    <w:rsid w:val="00D5798D"/>
    <w:rsid w:val="00D76B8F"/>
    <w:rsid w:val="00D90A3B"/>
    <w:rsid w:val="00D97241"/>
    <w:rsid w:val="00DA0AD5"/>
    <w:rsid w:val="00DA3783"/>
    <w:rsid w:val="00DB0EFD"/>
    <w:rsid w:val="00DC1E61"/>
    <w:rsid w:val="00DD2112"/>
    <w:rsid w:val="00DD45BE"/>
    <w:rsid w:val="00DE072E"/>
    <w:rsid w:val="00DE37B9"/>
    <w:rsid w:val="00DE45CE"/>
    <w:rsid w:val="00DF238C"/>
    <w:rsid w:val="00DF2F67"/>
    <w:rsid w:val="00DF7484"/>
    <w:rsid w:val="00E56D76"/>
    <w:rsid w:val="00E61872"/>
    <w:rsid w:val="00E6420E"/>
    <w:rsid w:val="00E6575F"/>
    <w:rsid w:val="00E734DE"/>
    <w:rsid w:val="00E9045F"/>
    <w:rsid w:val="00EC7E91"/>
    <w:rsid w:val="00ED1C53"/>
    <w:rsid w:val="00EE0A54"/>
    <w:rsid w:val="00EE4155"/>
    <w:rsid w:val="00EE7A8E"/>
    <w:rsid w:val="00F02FF1"/>
    <w:rsid w:val="00F04C65"/>
    <w:rsid w:val="00F3084E"/>
    <w:rsid w:val="00F425D4"/>
    <w:rsid w:val="00F514DD"/>
    <w:rsid w:val="00F52EDC"/>
    <w:rsid w:val="00F52FA5"/>
    <w:rsid w:val="00F61C76"/>
    <w:rsid w:val="00F624B0"/>
    <w:rsid w:val="00F635A4"/>
    <w:rsid w:val="00F70A7E"/>
    <w:rsid w:val="00F77C73"/>
    <w:rsid w:val="00FA4FEA"/>
    <w:rsid w:val="00FC5B84"/>
    <w:rsid w:val="00FE2A3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C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2024-03-25T08:05:00Z</dcterms:created>
  <dcterms:modified xsi:type="dcterms:W3CDTF">2024-03-25T08:56:00Z</dcterms:modified>
</cp:coreProperties>
</file>