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2" w:rsidRDefault="002959A2" w:rsidP="002959A2">
      <w:pPr>
        <w:pStyle w:val="1"/>
        <w:spacing w:after="0"/>
        <w:textAlignment w:val="baseline"/>
        <w:divId w:val="1124731933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  <w:r>
        <w:rPr>
          <w:rStyle w:val="article-title-text"/>
          <w:color w:val="464646"/>
          <w:sz w:val="42"/>
          <w:szCs w:val="42"/>
          <w:bdr w:val="none" w:sz="0" w:space="0" w:color="auto" w:frame="1"/>
        </w:rPr>
        <w:t>С 1 ноября 2021 г. скорректированы условия премирования руководителей коммерческих организаций</w:t>
      </w:r>
    </w:p>
    <w:p w:rsidR="00073B18" w:rsidRDefault="00073B18" w:rsidP="002959A2">
      <w:pPr>
        <w:pStyle w:val="1"/>
        <w:spacing w:after="0"/>
        <w:textAlignment w:val="baseline"/>
        <w:divId w:val="1124731933"/>
        <w:rPr>
          <w:color w:val="464646"/>
          <w:sz w:val="42"/>
          <w:szCs w:val="42"/>
        </w:rPr>
      </w:pP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          Управление по труду, занятости и социальной защите Бешенковичского райисполкома сообщает, что постановлением Совета Министров республики </w:t>
      </w:r>
      <w:proofErr w:type="gramStart"/>
      <w:r>
        <w:rPr>
          <w:rFonts w:ascii="inherit" w:hAnsi="inherit" w:cs="Arial"/>
          <w:color w:val="3E4040"/>
          <w:sz w:val="27"/>
          <w:szCs w:val="27"/>
        </w:rPr>
        <w:t>Беларусь  от</w:t>
      </w:r>
      <w:proofErr w:type="gramEnd"/>
      <w:r>
        <w:rPr>
          <w:rFonts w:ascii="inherit" w:hAnsi="inherit" w:cs="Arial"/>
          <w:color w:val="3E4040"/>
          <w:sz w:val="27"/>
          <w:szCs w:val="27"/>
        </w:rPr>
        <w:t xml:space="preserve"> 26.10.2021 N 612 внесены изменения в постановление Совмина от 08.07.2013 N 597 «О совершенствовании условий оплаты труда руководителей организаций в зависимости от результатов финансово-хозяйственной деятельности» (далее — Постановление N 597). Напомним, что Постановление N 597 регулирует условия оплаты труда руководителей организаций независимо от формы собственности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организаций).</w:t>
      </w:r>
    </w:p>
    <w:p w:rsidR="002959A2" w:rsidRDefault="005805F4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 xml:space="preserve">        </w:t>
      </w:r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Пересмотрены условия, при которых руководителям организаций не выплачиваются все виды премий, бонусов и вознаграждений </w:t>
      </w:r>
      <w:r w:rsidR="002959A2">
        <w:rPr>
          <w:rFonts w:ascii="inherit" w:hAnsi="inherit" w:cs="Arial"/>
          <w:color w:val="3E4040"/>
          <w:sz w:val="27"/>
          <w:szCs w:val="27"/>
        </w:rPr>
        <w:t>за исполнение трудовых обязанностей, предусмотренные условиями контрактов (далее — премии, бонусы и вознаграждения). А именно расширен перечень этих условий; конкретизированы даты, на которые оценивается задолженность по расчетам, как условие для выплаты премий, бонусов и вознаграждений. Также определены случаи, когда такие выплаты не производятся за месяц и за период в целом.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Рассмотрим изменения подробнее.</w:t>
      </w:r>
    </w:p>
    <w:p w:rsidR="002959A2" w:rsidRDefault="005805F4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       </w:t>
      </w:r>
      <w:r w:rsidR="002959A2" w:rsidRPr="005805F4">
        <w:rPr>
          <w:rFonts w:ascii="inherit" w:hAnsi="inherit" w:cs="Arial"/>
          <w:b/>
          <w:color w:val="3E4040"/>
          <w:sz w:val="27"/>
          <w:szCs w:val="27"/>
        </w:rPr>
        <w:t>Все виды премий, бонусов и вознаграж</w:t>
      </w:r>
      <w:r w:rsidR="002959A2">
        <w:rPr>
          <w:rFonts w:ascii="inherit" w:hAnsi="inherit" w:cs="Arial"/>
          <w:color w:val="3E4040"/>
          <w:sz w:val="27"/>
          <w:szCs w:val="27"/>
        </w:rPr>
        <w:t>дений </w:t>
      </w:r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не начисляются и не выплачиваются</w:t>
      </w:r>
      <w:r w:rsidR="002959A2">
        <w:rPr>
          <w:rFonts w:ascii="inherit" w:hAnsi="inherit" w:cs="Arial"/>
          <w:color w:val="3E4040"/>
          <w:sz w:val="27"/>
          <w:szCs w:val="27"/>
        </w:rPr>
        <w:t> </w:t>
      </w:r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за период</w:t>
      </w:r>
      <w:r w:rsidR="002959A2">
        <w:rPr>
          <w:rFonts w:ascii="inherit" w:hAnsi="inherit" w:cs="Arial"/>
          <w:color w:val="3E4040"/>
          <w:sz w:val="27"/>
          <w:szCs w:val="27"/>
        </w:rPr>
        <w:t>, по итогам которого по организации в целом допущен рост убытка от реализации продукции, товаров (работ, услуг) или чистого убытка за отчетный период по сравнению с предыдущим периодом, если иное не установлено законодательством. Конкретный показатель убыточности устанавливается собственником имущества или органом, заключившим контракт (</w:t>
      </w:r>
      <w:proofErr w:type="spellStart"/>
      <w:r w:rsidR="002959A2">
        <w:rPr>
          <w:rFonts w:ascii="inherit" w:hAnsi="inherit" w:cs="Arial"/>
          <w:color w:val="3E4040"/>
          <w:sz w:val="27"/>
          <w:szCs w:val="27"/>
        </w:rPr>
        <w:t>абз</w:t>
      </w:r>
      <w:proofErr w:type="spellEnd"/>
      <w:r w:rsidR="002959A2">
        <w:rPr>
          <w:rFonts w:ascii="inherit" w:hAnsi="inherit" w:cs="Arial"/>
          <w:color w:val="3E4040"/>
          <w:sz w:val="27"/>
          <w:szCs w:val="27"/>
        </w:rPr>
        <w:t>. 2 ч. 1 подп. 2.5 Постановления N 597 в новой редакции).</w:t>
      </w:r>
    </w:p>
    <w:p w:rsidR="002959A2" w:rsidRPr="005805F4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b/>
          <w:color w:val="3E4040"/>
          <w:sz w:val="27"/>
          <w:szCs w:val="27"/>
        </w:rPr>
      </w:pPr>
      <w:r w:rsidRPr="005805F4">
        <w:rPr>
          <w:rFonts w:ascii="inherit" w:hAnsi="inherit" w:cs="Arial"/>
          <w:b/>
          <w:color w:val="3E4040"/>
          <w:sz w:val="27"/>
          <w:szCs w:val="27"/>
        </w:rPr>
        <w:t>Премии, бонусы и вознаграждения </w:t>
      </w:r>
      <w:r w:rsidRPr="005805F4">
        <w:rPr>
          <w:rStyle w:val="a7"/>
          <w:rFonts w:ascii="inherit" w:hAnsi="inherit" w:cs="Arial"/>
          <w:b w:val="0"/>
          <w:color w:val="3E4040"/>
          <w:sz w:val="27"/>
          <w:szCs w:val="27"/>
          <w:bdr w:val="none" w:sz="0" w:space="0" w:color="auto" w:frame="1"/>
        </w:rPr>
        <w:t>не начисляются и не выплачиваются</w:t>
      </w:r>
      <w:r w:rsidRPr="005805F4">
        <w:rPr>
          <w:rFonts w:ascii="inherit" w:hAnsi="inherit" w:cs="Arial"/>
          <w:b/>
          <w:color w:val="3E4040"/>
          <w:sz w:val="27"/>
          <w:szCs w:val="27"/>
        </w:rPr>
        <w:t> </w:t>
      </w:r>
      <w:r w:rsidRPr="005805F4">
        <w:rPr>
          <w:rStyle w:val="a7"/>
          <w:rFonts w:ascii="inherit" w:hAnsi="inherit" w:cs="Arial"/>
          <w:b w:val="0"/>
          <w:color w:val="3E4040"/>
          <w:sz w:val="27"/>
          <w:szCs w:val="27"/>
          <w:bdr w:val="none" w:sz="0" w:space="0" w:color="auto" w:frame="1"/>
        </w:rPr>
        <w:t>за месяц</w:t>
      </w:r>
      <w:r w:rsidRPr="005805F4">
        <w:rPr>
          <w:rFonts w:ascii="inherit" w:hAnsi="inherit" w:cs="Arial"/>
          <w:b/>
          <w:color w:val="3E4040"/>
          <w:sz w:val="27"/>
          <w:szCs w:val="27"/>
        </w:rPr>
        <w:t>, в котором допущена задолженность по: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— выплате заработной платы, государственных пособий семьям, воспитывающим детей;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— оплате потребленных с начала отчетного года услуг горячего и холодного водоснабжения, водоотведения (канализации), образовавшаяся в результате необеспечения их оплаты в сроки, установленные договорами или законодательными актами;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— </w:t>
      </w:r>
      <w:proofErr w:type="gramStart"/>
      <w:r>
        <w:rPr>
          <w:rFonts w:ascii="inherit" w:hAnsi="inherit" w:cs="Arial"/>
          <w:color w:val="3E4040"/>
          <w:sz w:val="27"/>
          <w:szCs w:val="27"/>
        </w:rPr>
        <w:t>оплате</w:t>
      </w:r>
      <w:proofErr w:type="gramEnd"/>
      <w:r>
        <w:rPr>
          <w:rFonts w:ascii="inherit" w:hAnsi="inherit" w:cs="Arial"/>
          <w:color w:val="3E4040"/>
          <w:sz w:val="27"/>
          <w:szCs w:val="27"/>
        </w:rPr>
        <w:t xml:space="preserve"> потребленной с начала отчетного года электрической и тепловой энергии по договорам с </w:t>
      </w:r>
      <w:proofErr w:type="spellStart"/>
      <w:r>
        <w:rPr>
          <w:rFonts w:ascii="inherit" w:hAnsi="inherit" w:cs="Arial"/>
          <w:color w:val="3E4040"/>
          <w:sz w:val="27"/>
          <w:szCs w:val="27"/>
        </w:rPr>
        <w:t>энергоснабжающими</w:t>
      </w:r>
      <w:proofErr w:type="spellEnd"/>
      <w:r>
        <w:rPr>
          <w:rFonts w:ascii="inherit" w:hAnsi="inherit" w:cs="Arial"/>
          <w:color w:val="3E4040"/>
          <w:sz w:val="27"/>
          <w:szCs w:val="27"/>
        </w:rPr>
        <w:t xml:space="preserve"> организациями, образовавшаяся в результате необеспечения ее оплаты на последнюю дату отчетного периода или в </w:t>
      </w:r>
      <w:r>
        <w:rPr>
          <w:rFonts w:ascii="inherit" w:hAnsi="inherit" w:cs="Arial"/>
          <w:color w:val="3E4040"/>
          <w:sz w:val="27"/>
          <w:szCs w:val="27"/>
        </w:rPr>
        <w:lastRenderedPageBreak/>
        <w:t>установленных законодательством случаях — на дату, относящуюся к периоду, следующему за отчетным;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— оплате потребленного с начала отчетного года природного газа по договорам с газоснабжающими организациями, входящими в состав государственного производственного объединения по топливу и газификации «</w:t>
      </w:r>
      <w:proofErr w:type="spellStart"/>
      <w:r>
        <w:rPr>
          <w:rFonts w:ascii="inherit" w:hAnsi="inherit" w:cs="Arial"/>
          <w:color w:val="3E4040"/>
          <w:sz w:val="27"/>
          <w:szCs w:val="27"/>
        </w:rPr>
        <w:t>Белтопгаз</w:t>
      </w:r>
      <w:proofErr w:type="spellEnd"/>
      <w:r>
        <w:rPr>
          <w:rFonts w:ascii="inherit" w:hAnsi="inherit" w:cs="Arial"/>
          <w:color w:val="3E4040"/>
          <w:sz w:val="27"/>
          <w:szCs w:val="27"/>
        </w:rPr>
        <w:t xml:space="preserve">», образовавшаяся в результате необеспечения его оплаты на последнюю дату отчетного периода, по договорам с открытым акционерным обществом «Газпром </w:t>
      </w:r>
      <w:proofErr w:type="spellStart"/>
      <w:r>
        <w:rPr>
          <w:rFonts w:ascii="inherit" w:hAnsi="inherit" w:cs="Arial"/>
          <w:color w:val="3E4040"/>
          <w:sz w:val="27"/>
          <w:szCs w:val="27"/>
        </w:rPr>
        <w:t>трансгаз</w:t>
      </w:r>
      <w:proofErr w:type="spellEnd"/>
      <w:r>
        <w:rPr>
          <w:rFonts w:ascii="inherit" w:hAnsi="inherit" w:cs="Arial"/>
          <w:color w:val="3E4040"/>
          <w:sz w:val="27"/>
          <w:szCs w:val="27"/>
        </w:rPr>
        <w:t xml:space="preserve"> Беларусь», публичным акционерным обществом «Газпром», образовавшаяся в результате необеспечения его оплаты в сроки, установленные договорами (</w:t>
      </w:r>
      <w:proofErr w:type="spellStart"/>
      <w:r>
        <w:rPr>
          <w:rFonts w:ascii="inherit" w:hAnsi="inherit" w:cs="Arial"/>
          <w:color w:val="3E4040"/>
          <w:sz w:val="27"/>
          <w:szCs w:val="27"/>
        </w:rPr>
        <w:t>абз</w:t>
      </w:r>
      <w:proofErr w:type="spellEnd"/>
      <w:r>
        <w:rPr>
          <w:rFonts w:ascii="inherit" w:hAnsi="inherit" w:cs="Arial"/>
          <w:color w:val="3E4040"/>
          <w:sz w:val="27"/>
          <w:szCs w:val="27"/>
        </w:rPr>
        <w:t>. 3 — 7 ч. 1 подп. 2.5 Постановления N 597 в новой редакции).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Сохранена норма о том, что показатель задолженности по плате за потребленные электрическую и тепловую энергию, природный газ не применяется, если имеются решения республиканской комиссии по контролю за осуществлением указанных расчетов о возможности начисления и выплаты руководителям организаций премий, бонусов и вознаграждений (ч. 2 подп. 2.5 Постановления N 597 в новой редакции).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Уточнено, что начисление руководителям организаций премий, бонусов и вознаграждений за квартал, полугодие или иной период производится пропорционально месяцам, в которых отсутствовала задолженности по выплате зарплаты, пособий семьям, воспитывающим детей, а также задолженность по оплате услуг водоснабжения, водоотведения, за потребленные электрическую и тепловую энергию, природный газ (ч. 3 подп. 2.5 Постановления N 597 в новой редакции).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    Установлено, что в случае, если в организации на 31 декабря отчетного года обеспечена полная оплата потребленных с начала отчетного года природного газа, электрической и тепловой энергии, услуг горячего и холодного водоснабжения, водоотведения (канализации), руководителю организации начисляются и выплачиваются со снижением на 50% суммы премий, бонусов и вознаграждений, не начисленные и не выплаченные в свое время (ч. 4 подп. 2.5 Постановления N 597 в новой редакции).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Все изменения положений о премиях, бонусах и вознаграждениях вступают в силу с 1 ноября 2021 г.</w:t>
      </w:r>
    </w:p>
    <w:p w:rsidR="002959A2" w:rsidRDefault="005805F4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 xml:space="preserve">       </w:t>
      </w:r>
      <w:bookmarkStart w:id="0" w:name="_GoBack"/>
      <w:bookmarkEnd w:id="0"/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Уточнен порядок расчета коэффициента соотношения средней заработной платы руководителя и средней заработной платы по организации в целом. </w:t>
      </w:r>
      <w:r w:rsidR="002959A2">
        <w:rPr>
          <w:rFonts w:ascii="inherit" w:hAnsi="inherit" w:cs="Arial"/>
          <w:color w:val="3E4040"/>
          <w:sz w:val="27"/>
          <w:szCs w:val="27"/>
        </w:rPr>
        <w:t>Теперь прописано, что при расчете этого коэффициента среднесписочная численность руководителя организации принимается за единицу (ч. 7 подп. 2.1 Постановления N 597 в новой редакции). Этим сняты вопросы, ранее возникавшие на практике.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Также определено, что при расчете фактического значения этого коэффициента в фонде заработной платы руководителя организации не учитываются суммы премий, бонусов и вознаграждений, исчисленные и выплаченные в ситуации, когда на 31 декабря отчетного года задолженность на энергоресурсы погашена и </w:t>
      </w:r>
      <w:r>
        <w:rPr>
          <w:rFonts w:ascii="inherit" w:hAnsi="inherit" w:cs="Arial"/>
          <w:color w:val="3E4040"/>
          <w:sz w:val="27"/>
          <w:szCs w:val="27"/>
        </w:rPr>
        <w:lastRenderedPageBreak/>
        <w:t>указанные выплаты производятся со снижением на 50% (</w:t>
      </w:r>
      <w:proofErr w:type="spellStart"/>
      <w:r>
        <w:rPr>
          <w:rFonts w:ascii="inherit" w:hAnsi="inherit" w:cs="Arial"/>
          <w:color w:val="3E4040"/>
          <w:sz w:val="27"/>
          <w:szCs w:val="27"/>
        </w:rPr>
        <w:t>абз</w:t>
      </w:r>
      <w:proofErr w:type="spellEnd"/>
      <w:r>
        <w:rPr>
          <w:rFonts w:ascii="inherit" w:hAnsi="inherit" w:cs="Arial"/>
          <w:color w:val="3E4040"/>
          <w:sz w:val="27"/>
          <w:szCs w:val="27"/>
        </w:rPr>
        <w:t>. 15 подп. 2.2 Постановления N 597 в новой редакции).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Эти новшества вступают в силу с 1 ноября 2021 г.</w:t>
      </w:r>
    </w:p>
    <w:p w:rsidR="002959A2" w:rsidRDefault="00073B18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 xml:space="preserve">        </w:t>
      </w:r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 xml:space="preserve">Скорректирован порядок выплаты годового бонуса руководителям </w:t>
      </w:r>
      <w:proofErr w:type="spellStart"/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госорганизаций</w:t>
      </w:r>
      <w:proofErr w:type="spellEnd"/>
      <w:r w:rsidR="002959A2"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. </w:t>
      </w:r>
      <w:r>
        <w:rPr>
          <w:rStyle w:val="a7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 xml:space="preserve">   </w:t>
      </w:r>
      <w:r w:rsidR="002959A2">
        <w:rPr>
          <w:rFonts w:ascii="inherit" w:hAnsi="inherit" w:cs="Arial"/>
          <w:color w:val="3E4040"/>
          <w:sz w:val="27"/>
          <w:szCs w:val="27"/>
        </w:rPr>
        <w:t xml:space="preserve">Напомним, что Постановлением N 597 утверждено Положение об условиях оплаты труда руководителей государственных организаций и организаций с долей собственности государства в их имуществе (далее — Положение об оплате труда руководителей </w:t>
      </w:r>
      <w:proofErr w:type="spellStart"/>
      <w:r w:rsidR="002959A2">
        <w:rPr>
          <w:rFonts w:ascii="inherit" w:hAnsi="inherit" w:cs="Arial"/>
          <w:color w:val="3E4040"/>
          <w:sz w:val="27"/>
          <w:szCs w:val="27"/>
        </w:rPr>
        <w:t>госорганизаций</w:t>
      </w:r>
      <w:proofErr w:type="spellEnd"/>
      <w:r w:rsidR="002959A2">
        <w:rPr>
          <w:rFonts w:ascii="inherit" w:hAnsi="inherit" w:cs="Arial"/>
          <w:color w:val="3E4040"/>
          <w:sz w:val="27"/>
          <w:szCs w:val="27"/>
        </w:rPr>
        <w:t>). Этим документом определяются условия оплаты труда руководителей государственных организаций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 и организаций, в уставном фонде которых доля собственности государства составляет более 50%, в зависимости от результатов финансово-хозяйственной деятельности возглавляемых ими организаций.</w:t>
      </w:r>
    </w:p>
    <w:p w:rsidR="002959A2" w:rsidRDefault="00073B18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      </w:t>
      </w:r>
      <w:r w:rsidR="002959A2">
        <w:rPr>
          <w:rFonts w:ascii="inherit" w:hAnsi="inherit" w:cs="Arial"/>
          <w:color w:val="3E4040"/>
          <w:sz w:val="27"/>
          <w:szCs w:val="27"/>
        </w:rPr>
        <w:t xml:space="preserve">В Положение об оплате труда руководителей </w:t>
      </w:r>
      <w:proofErr w:type="spellStart"/>
      <w:r w:rsidR="002959A2">
        <w:rPr>
          <w:rFonts w:ascii="inherit" w:hAnsi="inherit" w:cs="Arial"/>
          <w:color w:val="3E4040"/>
          <w:sz w:val="27"/>
          <w:szCs w:val="27"/>
        </w:rPr>
        <w:t>госорганизаций</w:t>
      </w:r>
      <w:proofErr w:type="spellEnd"/>
      <w:r w:rsidR="002959A2">
        <w:rPr>
          <w:rFonts w:ascii="inherit" w:hAnsi="inherit" w:cs="Arial"/>
          <w:color w:val="3E4040"/>
          <w:sz w:val="27"/>
          <w:szCs w:val="27"/>
        </w:rPr>
        <w:t xml:space="preserve"> внесено изменение, касающееся выплаты годового бонуса. Исключено положение о том, что при невыполнении более двух прогнозных показателей годовой бонус не выплачивается. Годовой бонус исчисляется пропорционально количеству выполненных прогнозных показателей (подп. 6.6 Положения об оплате труда руководителей </w:t>
      </w:r>
      <w:proofErr w:type="spellStart"/>
      <w:r w:rsidR="002959A2">
        <w:rPr>
          <w:rFonts w:ascii="inherit" w:hAnsi="inherit" w:cs="Arial"/>
          <w:color w:val="3E4040"/>
          <w:sz w:val="27"/>
          <w:szCs w:val="27"/>
        </w:rPr>
        <w:t>госорганизаций</w:t>
      </w:r>
      <w:proofErr w:type="spellEnd"/>
      <w:r w:rsidR="002959A2">
        <w:rPr>
          <w:rFonts w:ascii="inherit" w:hAnsi="inherit" w:cs="Arial"/>
          <w:color w:val="3E4040"/>
          <w:sz w:val="27"/>
          <w:szCs w:val="27"/>
        </w:rPr>
        <w:t xml:space="preserve"> в новой редакции).</w:t>
      </w:r>
    </w:p>
    <w:p w:rsidR="002959A2" w:rsidRDefault="002959A2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>Это изменение вступит в силу с 1 января 2022 г.</w:t>
      </w:r>
    </w:p>
    <w:p w:rsidR="002959A2" w:rsidRDefault="00073B18" w:rsidP="002959A2">
      <w:pPr>
        <w:pStyle w:val="a6"/>
        <w:spacing w:before="0" w:beforeAutospacing="0" w:after="0" w:afterAutospacing="0"/>
        <w:jc w:val="both"/>
        <w:textAlignment w:val="baseline"/>
        <w:divId w:val="1124731933"/>
        <w:rPr>
          <w:rFonts w:ascii="inherit" w:hAnsi="inherit" w:cs="Arial"/>
          <w:color w:val="3E4040"/>
          <w:sz w:val="27"/>
          <w:szCs w:val="27"/>
        </w:rPr>
      </w:pPr>
      <w:r>
        <w:rPr>
          <w:rFonts w:ascii="inherit" w:hAnsi="inherit" w:cs="Arial"/>
          <w:color w:val="3E4040"/>
          <w:sz w:val="27"/>
          <w:szCs w:val="27"/>
        </w:rPr>
        <w:t xml:space="preserve">         Н</w:t>
      </w:r>
      <w:r w:rsidR="002959A2">
        <w:rPr>
          <w:rFonts w:ascii="inherit" w:hAnsi="inherit" w:cs="Arial"/>
          <w:color w:val="3E4040"/>
          <w:sz w:val="27"/>
          <w:szCs w:val="27"/>
        </w:rPr>
        <w:t xml:space="preserve">апомним, собственникам имущества организаций негосударственной формы собственности, в том числе организаций, в уставном фонде которых доля собственности государства составляет менее 50%, рекомендуется устанавливать руководителям данных организаций условия оплаты их труда в соответствии с Положением об условиях оплаты труда руководителей </w:t>
      </w:r>
      <w:proofErr w:type="spellStart"/>
      <w:r w:rsidR="002959A2">
        <w:rPr>
          <w:rFonts w:ascii="inherit" w:hAnsi="inherit" w:cs="Arial"/>
          <w:color w:val="3E4040"/>
          <w:sz w:val="27"/>
          <w:szCs w:val="27"/>
        </w:rPr>
        <w:t>госорганизаций</w:t>
      </w:r>
      <w:proofErr w:type="spellEnd"/>
      <w:r w:rsidR="002959A2">
        <w:rPr>
          <w:rFonts w:ascii="inherit" w:hAnsi="inherit" w:cs="Arial"/>
          <w:color w:val="3E4040"/>
          <w:sz w:val="27"/>
          <w:szCs w:val="27"/>
        </w:rPr>
        <w:t xml:space="preserve"> (п. 3 Постановления N 597).</w:t>
      </w:r>
    </w:p>
    <w:p w:rsidR="002959A2" w:rsidRPr="00A359A1" w:rsidRDefault="002959A2" w:rsidP="002959A2">
      <w:pPr>
        <w:pStyle w:val="a0-text"/>
        <w:spacing w:after="0"/>
        <w:jc w:val="both"/>
        <w:divId w:val="1124731933"/>
        <w:rPr>
          <w:sz w:val="28"/>
          <w:szCs w:val="28"/>
        </w:rPr>
      </w:pPr>
    </w:p>
    <w:sectPr w:rsidR="002959A2" w:rsidRPr="00A359A1" w:rsidSect="00073B18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F320D"/>
    <w:multiLevelType w:val="multilevel"/>
    <w:tmpl w:val="A37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89"/>
    <w:rsid w:val="00073B18"/>
    <w:rsid w:val="00236A80"/>
    <w:rsid w:val="002959A2"/>
    <w:rsid w:val="00446796"/>
    <w:rsid w:val="005805F4"/>
    <w:rsid w:val="00761355"/>
    <w:rsid w:val="00864789"/>
    <w:rsid w:val="00891563"/>
    <w:rsid w:val="00A359A1"/>
    <w:rsid w:val="00B37EEF"/>
    <w:rsid w:val="00D37980"/>
    <w:rsid w:val="00EC1B21"/>
    <w:rsid w:val="00F30233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2B41-5BE5-4E69-918F-C7B8109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80"/>
    <w:rPr>
      <w:rFonts w:ascii="Segoe UI" w:hAnsi="Segoe UI" w:cs="Segoe UI"/>
      <w:sz w:val="18"/>
      <w:szCs w:val="18"/>
    </w:rPr>
  </w:style>
  <w:style w:type="character" w:customStyle="1" w:styleId="article-title-text">
    <w:name w:val="article-title-text"/>
    <w:basedOn w:val="a0"/>
    <w:rsid w:val="002959A2"/>
  </w:style>
  <w:style w:type="paragraph" w:customStyle="1" w:styleId="article-date">
    <w:name w:val="article-date"/>
    <w:basedOn w:val="a"/>
    <w:rsid w:val="0029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29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9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9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22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28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23" w:color="auto"/>
                        <w:left w:val="none" w:sz="0" w:space="0" w:color="auto"/>
                        <w:bottom w:val="single" w:sz="6" w:space="5" w:color="E1E2E6"/>
                        <w:right w:val="none" w:sz="0" w:space="0" w:color="auto"/>
                      </w:divBdr>
                      <w:divsChild>
                        <w:div w:id="1663897176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302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2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0740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209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8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2021-11-01T07:51:00Z</cp:lastPrinted>
  <dcterms:created xsi:type="dcterms:W3CDTF">2021-09-28T06:51:00Z</dcterms:created>
  <dcterms:modified xsi:type="dcterms:W3CDTF">2021-11-01T08:37:00Z</dcterms:modified>
</cp:coreProperties>
</file>